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99D" w:rsidRDefault="0033599D" w:rsidP="0033599D">
      <w:pPr>
        <w:spacing w:line="360" w:lineRule="auto"/>
        <w:contextualSpacing/>
        <w:jc w:val="center"/>
        <w:rPr>
          <w:rFonts w:ascii="Arial" w:hAnsi="Arial" w:cs="Arial"/>
          <w:b/>
          <w:sz w:val="32"/>
          <w:szCs w:val="30"/>
          <w:lang w:val="en-US"/>
        </w:rPr>
      </w:pPr>
      <w:r>
        <w:rPr>
          <w:noProof/>
          <w:lang w:eastAsia="en-GB"/>
        </w:rPr>
        <w:drawing>
          <wp:anchor distT="0" distB="0" distL="114300" distR="114300" simplePos="0" relativeHeight="251658240" behindDoc="0" locked="0" layoutInCell="1" allowOverlap="1">
            <wp:simplePos x="0" y="0"/>
            <wp:positionH relativeFrom="column">
              <wp:posOffset>8108315</wp:posOffset>
            </wp:positionH>
            <wp:positionV relativeFrom="paragraph">
              <wp:posOffset>-513715</wp:posOffset>
            </wp:positionV>
            <wp:extent cx="1915160" cy="1177290"/>
            <wp:effectExtent l="0" t="0" r="0" b="0"/>
            <wp:wrapNone/>
            <wp:docPr id="7" name="Picture 1" descr="Description: Description: LOGO MASTE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 MASTER small"/>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5160" cy="1177290"/>
                    </a:xfrm>
                    <a:prstGeom prst="rect">
                      <a:avLst/>
                    </a:prstGeom>
                    <a:noFill/>
                    <a:ln>
                      <a:noFill/>
                    </a:ln>
                  </pic:spPr>
                </pic:pic>
              </a:graphicData>
            </a:graphic>
          </wp:anchor>
        </w:drawing>
      </w:r>
    </w:p>
    <w:p w:rsidR="0033599D" w:rsidRDefault="0033599D" w:rsidP="0033599D">
      <w:pPr>
        <w:spacing w:line="360" w:lineRule="auto"/>
        <w:contextualSpacing/>
        <w:jc w:val="center"/>
        <w:rPr>
          <w:rFonts w:ascii="Arial" w:hAnsi="Arial" w:cs="Arial"/>
          <w:b/>
          <w:sz w:val="32"/>
          <w:szCs w:val="30"/>
          <w:lang w:val="en-US"/>
        </w:rPr>
      </w:pPr>
      <w:r>
        <w:rPr>
          <w:rFonts w:ascii="Arial" w:hAnsi="Arial" w:cs="Arial"/>
          <w:b/>
          <w:sz w:val="32"/>
          <w:szCs w:val="30"/>
          <w:lang w:val="en-US"/>
        </w:rPr>
        <w:t xml:space="preserve">KS3 Progression Map: </w:t>
      </w:r>
      <w:r>
        <w:rPr>
          <w:rFonts w:ascii="Arial" w:hAnsi="Arial"/>
          <w:b/>
          <w:bCs/>
          <w:sz w:val="32"/>
          <w:szCs w:val="28"/>
        </w:rPr>
        <w:t>Probability and Statistics</w:t>
      </w:r>
    </w:p>
    <w:p w:rsidR="0033599D" w:rsidRDefault="0033599D" w:rsidP="0033599D">
      <w:pPr>
        <w:spacing w:line="360" w:lineRule="auto"/>
        <w:contextualSpacing/>
        <w:rPr>
          <w:rFonts w:ascii="Arial" w:hAnsi="Arial" w:cs="Arial"/>
          <w:sz w:val="26"/>
          <w:szCs w:val="26"/>
          <w:lang w:val="en-US"/>
        </w:rPr>
      </w:pPr>
    </w:p>
    <w:p w:rsidR="0033599D" w:rsidRDefault="0033599D" w:rsidP="0033599D">
      <w:pPr>
        <w:spacing w:line="360" w:lineRule="auto"/>
        <w:contextualSpacing/>
        <w:rPr>
          <w:rFonts w:ascii="Arial" w:hAnsi="Arial" w:cs="Arial"/>
          <w:sz w:val="26"/>
          <w:szCs w:val="26"/>
          <w:lang w:val="en-US"/>
        </w:rPr>
      </w:pPr>
      <w:r>
        <w:rPr>
          <w:rFonts w:ascii="Arial" w:hAnsi="Arial" w:cs="Arial"/>
          <w:sz w:val="26"/>
          <w:szCs w:val="26"/>
          <w:lang w:val="en-US"/>
        </w:rPr>
        <w:t xml:space="preserve">This progression map expands upon the statements of subject content in the </w:t>
      </w:r>
      <w:proofErr w:type="spellStart"/>
      <w:r>
        <w:rPr>
          <w:rFonts w:ascii="Arial" w:hAnsi="Arial" w:cs="Arial"/>
          <w:sz w:val="26"/>
          <w:szCs w:val="26"/>
          <w:lang w:val="en-US"/>
        </w:rPr>
        <w:t>DfE</w:t>
      </w:r>
      <w:proofErr w:type="spellEnd"/>
      <w:r>
        <w:rPr>
          <w:rFonts w:ascii="Arial" w:hAnsi="Arial" w:cs="Arial"/>
          <w:sz w:val="26"/>
          <w:szCs w:val="26"/>
          <w:lang w:val="en-US"/>
        </w:rPr>
        <w:t xml:space="preserve"> document </w:t>
      </w:r>
      <w:hyperlink r:id="rId6" w:history="1">
        <w:r w:rsidRPr="004E14AE">
          <w:rPr>
            <w:rStyle w:val="Hyperlink"/>
            <w:rFonts w:ascii="Arial" w:hAnsi="Arial" w:cs="Arial"/>
            <w:i/>
            <w:sz w:val="26"/>
            <w:szCs w:val="26"/>
            <w:lang w:val="en-US"/>
          </w:rPr>
          <w:t xml:space="preserve">Mathematics </w:t>
        </w:r>
        <w:proofErr w:type="spellStart"/>
        <w:r w:rsidRPr="004E14AE">
          <w:rPr>
            <w:rStyle w:val="Hyperlink"/>
            <w:rFonts w:ascii="Arial" w:hAnsi="Arial" w:cs="Arial"/>
            <w:i/>
            <w:sz w:val="26"/>
            <w:szCs w:val="26"/>
            <w:lang w:val="en-US"/>
          </w:rPr>
          <w:t>programmes</w:t>
        </w:r>
        <w:proofErr w:type="spellEnd"/>
        <w:r w:rsidRPr="004E14AE">
          <w:rPr>
            <w:rStyle w:val="Hyperlink"/>
            <w:rFonts w:ascii="Arial" w:hAnsi="Arial" w:cs="Arial"/>
            <w:i/>
            <w:sz w:val="26"/>
            <w:szCs w:val="26"/>
            <w:lang w:val="en-US"/>
          </w:rPr>
          <w:t xml:space="preserve"> of study: Key Stage 3</w:t>
        </w:r>
      </w:hyperlink>
      <w:r w:rsidRPr="004E14AE">
        <w:rPr>
          <w:rFonts w:ascii="Arial" w:hAnsi="Arial" w:cs="Arial"/>
          <w:i/>
          <w:sz w:val="26"/>
          <w:szCs w:val="26"/>
          <w:lang w:val="en-US"/>
        </w:rPr>
        <w:t xml:space="preserve"> </w:t>
      </w:r>
      <w:r>
        <w:rPr>
          <w:rFonts w:ascii="Arial" w:hAnsi="Arial" w:cs="Arial"/>
          <w:sz w:val="26"/>
          <w:szCs w:val="26"/>
          <w:lang w:val="en-US"/>
        </w:rPr>
        <w:t>published September 2013. Suggested allocation of material to Years 7, 8 and 9 is given as starting points for writing schemes of work, but the implicit chronology is not intended to be prescriptive or restrictive; indeed, the programme of study is explicit that “</w:t>
      </w:r>
      <w:r w:rsidRPr="0022581A">
        <w:rPr>
          <w:rFonts w:ascii="Arial" w:hAnsi="Arial" w:cs="Arial"/>
          <w:sz w:val="26"/>
          <w:szCs w:val="26"/>
          <w:lang w:val="en-US"/>
        </w:rPr>
        <w:t>Decisions about progression should be based on the security of pupils’ understanding and their readiness to progress to the next stage. Pupils who grasp concepts rapidly should be challenged through being offered rich and sophisticated problems before any acceleration through new content in preparation for key stage 4. Those who are not sufficiently fluent should consolidate their understanding, including through additi</w:t>
      </w:r>
      <w:r>
        <w:rPr>
          <w:rFonts w:ascii="Arial" w:hAnsi="Arial" w:cs="Arial"/>
          <w:sz w:val="26"/>
          <w:szCs w:val="26"/>
          <w:lang w:val="en-US"/>
        </w:rPr>
        <w:t xml:space="preserve">onal practice, before moving on”. The NCETM fully endorses these principles, and will be developing further this progression map to help teachers achieve them. </w:t>
      </w:r>
    </w:p>
    <w:p w:rsidR="0033599D" w:rsidRDefault="0033599D" w:rsidP="0033599D">
      <w:pPr>
        <w:spacing w:line="360" w:lineRule="auto"/>
        <w:contextualSpacing/>
        <w:rPr>
          <w:rFonts w:ascii="Arial" w:hAnsi="Arial" w:cs="Arial"/>
          <w:sz w:val="26"/>
          <w:szCs w:val="26"/>
          <w:lang w:val="en-US"/>
        </w:rPr>
      </w:pPr>
    </w:p>
    <w:p w:rsidR="0033599D" w:rsidRPr="0055714B" w:rsidRDefault="0033599D" w:rsidP="0033599D">
      <w:pPr>
        <w:spacing w:line="360" w:lineRule="auto"/>
        <w:contextualSpacing/>
        <w:rPr>
          <w:rFonts w:ascii="Arial" w:hAnsi="Arial" w:cs="Arial"/>
          <w:sz w:val="26"/>
          <w:szCs w:val="26"/>
        </w:rPr>
      </w:pPr>
      <w:r>
        <w:rPr>
          <w:rFonts w:ascii="Arial" w:hAnsi="Arial" w:cs="Arial"/>
          <w:sz w:val="26"/>
          <w:szCs w:val="26"/>
          <w:lang w:val="en-US"/>
        </w:rPr>
        <w:t xml:space="preserve">Furthermore, although the map is </w:t>
      </w:r>
      <w:proofErr w:type="spellStart"/>
      <w:r>
        <w:rPr>
          <w:rFonts w:ascii="Arial" w:hAnsi="Arial" w:cs="Arial"/>
          <w:sz w:val="26"/>
          <w:szCs w:val="26"/>
          <w:lang w:val="en-US"/>
        </w:rPr>
        <w:t>organi</w:t>
      </w:r>
      <w:r w:rsidR="00D13CB8">
        <w:rPr>
          <w:rFonts w:ascii="Arial" w:hAnsi="Arial" w:cs="Arial"/>
          <w:sz w:val="26"/>
          <w:szCs w:val="26"/>
          <w:lang w:val="en-US"/>
        </w:rPr>
        <w:t>s</w:t>
      </w:r>
      <w:r>
        <w:rPr>
          <w:rFonts w:ascii="Arial" w:hAnsi="Arial" w:cs="Arial"/>
          <w:sz w:val="26"/>
          <w:szCs w:val="26"/>
          <w:lang w:val="en-US"/>
        </w:rPr>
        <w:t>ed</w:t>
      </w:r>
      <w:proofErr w:type="spellEnd"/>
      <w:r>
        <w:rPr>
          <w:rFonts w:ascii="Arial" w:hAnsi="Arial" w:cs="Arial"/>
          <w:sz w:val="26"/>
          <w:szCs w:val="26"/>
          <w:lang w:val="en-US"/>
        </w:rPr>
        <w:t xml:space="preserve"> by content, this is only for ease of reference and use. In the classroom, links between topics on the map, and between different maps, should be looked for and explored at every opportunity, so that “by the end of Key Stage 3, pupils … </w:t>
      </w:r>
      <w:r w:rsidRPr="00A565BC">
        <w:rPr>
          <w:rFonts w:ascii="Arial" w:hAnsi="Arial" w:cs="Arial"/>
          <w:sz w:val="26"/>
          <w:szCs w:val="26"/>
          <w:lang w:val="en-US"/>
        </w:rPr>
        <w:t>know, apply and understand the matters, skills and processes</w:t>
      </w:r>
      <w:r>
        <w:rPr>
          <w:rFonts w:ascii="Arial" w:hAnsi="Arial" w:cs="Arial"/>
          <w:sz w:val="26"/>
          <w:szCs w:val="26"/>
          <w:lang w:val="en-US"/>
        </w:rPr>
        <w:t xml:space="preserve"> specified”. Throughout Y7-9 pupils should have regular and opportunity and developmental feedback that helps them to </w:t>
      </w:r>
      <w:r w:rsidRPr="0055714B">
        <w:rPr>
          <w:rFonts w:ascii="Arial" w:hAnsi="Arial" w:cs="Arial"/>
          <w:b/>
          <w:sz w:val="26"/>
          <w:szCs w:val="26"/>
        </w:rPr>
        <w:t>develop fluency</w:t>
      </w:r>
      <w:r>
        <w:rPr>
          <w:rFonts w:ascii="Arial" w:hAnsi="Arial" w:cs="Arial"/>
          <w:sz w:val="26"/>
          <w:szCs w:val="26"/>
        </w:rPr>
        <w:t>, to</w:t>
      </w:r>
    </w:p>
    <w:p w:rsidR="0033599D" w:rsidRPr="0055714B" w:rsidRDefault="0033599D" w:rsidP="0033599D">
      <w:pPr>
        <w:numPr>
          <w:ilvl w:val="0"/>
          <w:numId w:val="18"/>
        </w:numPr>
        <w:spacing w:line="360" w:lineRule="auto"/>
        <w:contextualSpacing/>
        <w:rPr>
          <w:rFonts w:ascii="Arial" w:hAnsi="Arial" w:cs="Arial"/>
          <w:sz w:val="26"/>
          <w:szCs w:val="26"/>
        </w:rPr>
      </w:pPr>
      <w:r w:rsidRPr="0055714B">
        <w:rPr>
          <w:rFonts w:ascii="Arial" w:hAnsi="Arial" w:cs="Arial"/>
          <w:sz w:val="26"/>
          <w:szCs w:val="26"/>
        </w:rPr>
        <w:t xml:space="preserve">consolidate their numerical and mathematical capability from </w:t>
      </w:r>
      <w:r w:rsidR="00D13CB8">
        <w:rPr>
          <w:rFonts w:ascii="Arial" w:hAnsi="Arial" w:cs="Arial"/>
          <w:sz w:val="26"/>
          <w:szCs w:val="26"/>
        </w:rPr>
        <w:t>K</w:t>
      </w:r>
      <w:r w:rsidRPr="0055714B">
        <w:rPr>
          <w:rFonts w:ascii="Arial" w:hAnsi="Arial" w:cs="Arial"/>
          <w:sz w:val="26"/>
          <w:szCs w:val="26"/>
        </w:rPr>
        <w:t xml:space="preserve">ey </w:t>
      </w:r>
      <w:r w:rsidR="00D13CB8">
        <w:rPr>
          <w:rFonts w:ascii="Arial" w:hAnsi="Arial" w:cs="Arial"/>
          <w:sz w:val="26"/>
          <w:szCs w:val="26"/>
        </w:rPr>
        <w:t>S</w:t>
      </w:r>
      <w:r w:rsidRPr="0055714B">
        <w:rPr>
          <w:rFonts w:ascii="Arial" w:hAnsi="Arial" w:cs="Arial"/>
          <w:sz w:val="26"/>
          <w:szCs w:val="26"/>
        </w:rPr>
        <w:t>tage 2 and extend their understanding of the number system and place value to include decimals, fractions, powers and roots</w:t>
      </w:r>
    </w:p>
    <w:p w:rsidR="0033599D" w:rsidRPr="0055714B" w:rsidRDefault="0033599D" w:rsidP="0033599D">
      <w:pPr>
        <w:numPr>
          <w:ilvl w:val="0"/>
          <w:numId w:val="18"/>
        </w:numPr>
        <w:spacing w:line="360" w:lineRule="auto"/>
        <w:contextualSpacing/>
        <w:rPr>
          <w:rFonts w:ascii="Arial" w:hAnsi="Arial" w:cs="Arial"/>
          <w:sz w:val="26"/>
          <w:szCs w:val="26"/>
        </w:rPr>
      </w:pPr>
      <w:r w:rsidRPr="0055714B">
        <w:rPr>
          <w:rFonts w:ascii="Arial" w:hAnsi="Arial" w:cs="Arial"/>
          <w:sz w:val="26"/>
          <w:szCs w:val="26"/>
        </w:rPr>
        <w:t>select and use appropriate calculation strategies to solve increasingly complex problems</w:t>
      </w:r>
    </w:p>
    <w:p w:rsidR="0033599D" w:rsidRPr="0055714B" w:rsidRDefault="0033599D" w:rsidP="0033599D">
      <w:pPr>
        <w:numPr>
          <w:ilvl w:val="0"/>
          <w:numId w:val="18"/>
        </w:numPr>
        <w:spacing w:line="360" w:lineRule="auto"/>
        <w:contextualSpacing/>
        <w:rPr>
          <w:rFonts w:ascii="Arial" w:hAnsi="Arial" w:cs="Arial"/>
          <w:sz w:val="26"/>
          <w:szCs w:val="26"/>
        </w:rPr>
      </w:pPr>
      <w:r w:rsidRPr="0055714B">
        <w:rPr>
          <w:rFonts w:ascii="Arial" w:hAnsi="Arial" w:cs="Arial"/>
          <w:sz w:val="26"/>
          <w:szCs w:val="26"/>
        </w:rPr>
        <w:t>move freely between different numerical, algebraic, graphical and diagrammatic representations [for example, equivalent fractions, fractions and decimals, and equations and graphs]</w:t>
      </w:r>
    </w:p>
    <w:p w:rsidR="0033599D" w:rsidRDefault="0033599D" w:rsidP="0033599D">
      <w:pPr>
        <w:numPr>
          <w:ilvl w:val="0"/>
          <w:numId w:val="18"/>
        </w:numPr>
        <w:spacing w:line="360" w:lineRule="auto"/>
        <w:contextualSpacing/>
        <w:rPr>
          <w:rFonts w:ascii="Arial" w:hAnsi="Arial" w:cs="Arial"/>
          <w:sz w:val="26"/>
          <w:szCs w:val="26"/>
        </w:rPr>
      </w:pPr>
      <w:r w:rsidRPr="0055714B">
        <w:rPr>
          <w:rFonts w:ascii="Arial" w:hAnsi="Arial" w:cs="Arial"/>
          <w:sz w:val="26"/>
          <w:szCs w:val="26"/>
        </w:rPr>
        <w:lastRenderedPageBreak/>
        <w:t>use language and properties precisely to analyse numbers, algebraic expressions, 2-D and 3-D sha</w:t>
      </w:r>
      <w:r>
        <w:rPr>
          <w:rFonts w:ascii="Arial" w:hAnsi="Arial" w:cs="Arial"/>
          <w:sz w:val="26"/>
          <w:szCs w:val="26"/>
        </w:rPr>
        <w:t>pes, probability and statistics;</w:t>
      </w:r>
    </w:p>
    <w:p w:rsidR="0033599D" w:rsidRPr="0055714B" w:rsidRDefault="0033599D" w:rsidP="0033599D">
      <w:pPr>
        <w:spacing w:line="360" w:lineRule="auto"/>
        <w:contextualSpacing/>
        <w:rPr>
          <w:rFonts w:ascii="Arial" w:hAnsi="Arial" w:cs="Arial"/>
          <w:sz w:val="26"/>
          <w:szCs w:val="26"/>
        </w:rPr>
      </w:pPr>
      <w:r>
        <w:rPr>
          <w:rFonts w:ascii="Arial" w:hAnsi="Arial" w:cs="Arial"/>
          <w:sz w:val="26"/>
          <w:szCs w:val="26"/>
        </w:rPr>
        <w:t xml:space="preserve">to </w:t>
      </w:r>
      <w:r w:rsidRPr="0055714B">
        <w:rPr>
          <w:rFonts w:ascii="Arial" w:hAnsi="Arial" w:cs="Arial"/>
          <w:b/>
          <w:sz w:val="26"/>
          <w:szCs w:val="26"/>
        </w:rPr>
        <w:t>reason mathematically</w:t>
      </w:r>
      <w:r>
        <w:rPr>
          <w:rFonts w:ascii="Arial" w:hAnsi="Arial" w:cs="Arial"/>
          <w:sz w:val="26"/>
          <w:szCs w:val="26"/>
        </w:rPr>
        <w:t>, to</w:t>
      </w:r>
    </w:p>
    <w:p w:rsidR="0033599D" w:rsidRPr="0055714B" w:rsidRDefault="0033599D" w:rsidP="0033599D">
      <w:pPr>
        <w:numPr>
          <w:ilvl w:val="0"/>
          <w:numId w:val="18"/>
        </w:numPr>
        <w:spacing w:line="360" w:lineRule="auto"/>
        <w:contextualSpacing/>
        <w:rPr>
          <w:rFonts w:ascii="Arial" w:hAnsi="Arial" w:cs="Arial"/>
          <w:sz w:val="26"/>
          <w:szCs w:val="26"/>
        </w:rPr>
      </w:pPr>
      <w:r w:rsidRPr="0055714B">
        <w:rPr>
          <w:rFonts w:ascii="Arial" w:hAnsi="Arial" w:cs="Arial"/>
          <w:sz w:val="26"/>
          <w:szCs w:val="26"/>
        </w:rPr>
        <w:t>extend their understanding of the number system; make connections between number relationships, and their algebraic and graphical representations</w:t>
      </w:r>
    </w:p>
    <w:p w:rsidR="0033599D" w:rsidRPr="0055714B" w:rsidRDefault="0033599D" w:rsidP="0033599D">
      <w:pPr>
        <w:numPr>
          <w:ilvl w:val="0"/>
          <w:numId w:val="18"/>
        </w:numPr>
        <w:spacing w:line="360" w:lineRule="auto"/>
        <w:contextualSpacing/>
        <w:rPr>
          <w:rFonts w:ascii="Arial" w:hAnsi="Arial" w:cs="Arial"/>
          <w:sz w:val="26"/>
          <w:szCs w:val="26"/>
        </w:rPr>
      </w:pPr>
      <w:r w:rsidRPr="0055714B">
        <w:rPr>
          <w:rFonts w:ascii="Arial" w:hAnsi="Arial" w:cs="Arial"/>
          <w:sz w:val="26"/>
          <w:szCs w:val="26"/>
        </w:rPr>
        <w:t>extend and formalise their knowledge of ratio and proportion in working with measures and geometry, and in formulating proportional relations algebraically</w:t>
      </w:r>
    </w:p>
    <w:p w:rsidR="0033599D" w:rsidRPr="0055714B" w:rsidRDefault="0033599D" w:rsidP="0033599D">
      <w:pPr>
        <w:numPr>
          <w:ilvl w:val="0"/>
          <w:numId w:val="18"/>
        </w:numPr>
        <w:spacing w:line="360" w:lineRule="auto"/>
        <w:contextualSpacing/>
        <w:rPr>
          <w:rFonts w:ascii="Arial" w:hAnsi="Arial" w:cs="Arial"/>
          <w:sz w:val="26"/>
          <w:szCs w:val="26"/>
        </w:rPr>
      </w:pPr>
      <w:r w:rsidRPr="0055714B">
        <w:rPr>
          <w:rFonts w:ascii="Arial" w:hAnsi="Arial" w:cs="Arial"/>
          <w:sz w:val="26"/>
          <w:szCs w:val="26"/>
        </w:rPr>
        <w:t>make and test conjectures about patterns and relationships; look for proofs or counter-examples</w:t>
      </w:r>
    </w:p>
    <w:p w:rsidR="0033599D" w:rsidRPr="0055714B" w:rsidRDefault="0033599D" w:rsidP="0033599D">
      <w:pPr>
        <w:numPr>
          <w:ilvl w:val="0"/>
          <w:numId w:val="18"/>
        </w:numPr>
        <w:spacing w:line="360" w:lineRule="auto"/>
        <w:contextualSpacing/>
        <w:rPr>
          <w:rFonts w:ascii="Arial" w:hAnsi="Arial" w:cs="Arial"/>
          <w:sz w:val="26"/>
          <w:szCs w:val="26"/>
        </w:rPr>
      </w:pPr>
      <w:r w:rsidRPr="0055714B">
        <w:rPr>
          <w:rFonts w:ascii="Arial" w:hAnsi="Arial" w:cs="Arial"/>
          <w:sz w:val="26"/>
          <w:szCs w:val="26"/>
        </w:rPr>
        <w:t>begin to reason deductively in geometry, number and algebra, including using geometrical constructions</w:t>
      </w:r>
    </w:p>
    <w:p w:rsidR="0033599D" w:rsidRPr="0055714B" w:rsidRDefault="0033599D" w:rsidP="0033599D">
      <w:pPr>
        <w:numPr>
          <w:ilvl w:val="0"/>
          <w:numId w:val="18"/>
        </w:numPr>
        <w:spacing w:line="360" w:lineRule="auto"/>
        <w:contextualSpacing/>
        <w:rPr>
          <w:rFonts w:ascii="Arial" w:hAnsi="Arial" w:cs="Arial"/>
          <w:sz w:val="26"/>
          <w:szCs w:val="26"/>
        </w:rPr>
      </w:pPr>
      <w:r w:rsidRPr="0055714B">
        <w:rPr>
          <w:rFonts w:ascii="Arial" w:hAnsi="Arial" w:cs="Arial"/>
          <w:sz w:val="26"/>
          <w:szCs w:val="26"/>
        </w:rPr>
        <w:t>interpret when the structure of a numerical problem requires additive, multiplicative or proportional reasoning</w:t>
      </w:r>
    </w:p>
    <w:p w:rsidR="0033599D" w:rsidRDefault="0033599D" w:rsidP="0033599D">
      <w:pPr>
        <w:numPr>
          <w:ilvl w:val="0"/>
          <w:numId w:val="18"/>
        </w:numPr>
        <w:spacing w:line="360" w:lineRule="auto"/>
        <w:contextualSpacing/>
        <w:rPr>
          <w:rFonts w:ascii="Arial" w:hAnsi="Arial" w:cs="Arial"/>
          <w:sz w:val="26"/>
          <w:szCs w:val="26"/>
        </w:rPr>
      </w:pPr>
      <w:r w:rsidRPr="0055714B">
        <w:rPr>
          <w:rFonts w:ascii="Arial" w:hAnsi="Arial" w:cs="Arial"/>
          <w:sz w:val="26"/>
          <w:szCs w:val="26"/>
        </w:rPr>
        <w:t>explore what can and cannot be inferred in statistical and probabilistic settings, and begin to e</w:t>
      </w:r>
      <w:r>
        <w:rPr>
          <w:rFonts w:ascii="Arial" w:hAnsi="Arial" w:cs="Arial"/>
          <w:sz w:val="26"/>
          <w:szCs w:val="26"/>
        </w:rPr>
        <w:t>xpress their arguments formally;</w:t>
      </w:r>
    </w:p>
    <w:p w:rsidR="0033599D" w:rsidRPr="0055714B" w:rsidRDefault="0033599D" w:rsidP="0033599D">
      <w:pPr>
        <w:spacing w:line="360" w:lineRule="auto"/>
        <w:contextualSpacing/>
        <w:rPr>
          <w:rFonts w:ascii="Arial" w:hAnsi="Arial" w:cs="Arial"/>
          <w:sz w:val="26"/>
          <w:szCs w:val="26"/>
        </w:rPr>
      </w:pPr>
      <w:r>
        <w:rPr>
          <w:rFonts w:ascii="Arial" w:hAnsi="Arial" w:cs="Arial"/>
          <w:sz w:val="26"/>
          <w:szCs w:val="26"/>
        </w:rPr>
        <w:t xml:space="preserve">and to </w:t>
      </w:r>
      <w:r w:rsidRPr="0055714B">
        <w:rPr>
          <w:rFonts w:ascii="Arial" w:hAnsi="Arial" w:cs="Arial"/>
          <w:b/>
          <w:sz w:val="26"/>
          <w:szCs w:val="26"/>
        </w:rPr>
        <w:t>solve problems</w:t>
      </w:r>
      <w:r>
        <w:rPr>
          <w:rFonts w:ascii="Arial" w:hAnsi="Arial" w:cs="Arial"/>
          <w:sz w:val="26"/>
          <w:szCs w:val="26"/>
        </w:rPr>
        <w:t>, to</w:t>
      </w:r>
    </w:p>
    <w:p w:rsidR="0033599D" w:rsidRPr="0055714B" w:rsidRDefault="0033599D" w:rsidP="0033599D">
      <w:pPr>
        <w:numPr>
          <w:ilvl w:val="0"/>
          <w:numId w:val="18"/>
        </w:numPr>
        <w:spacing w:line="360" w:lineRule="auto"/>
        <w:contextualSpacing/>
        <w:rPr>
          <w:rFonts w:ascii="Arial" w:hAnsi="Arial" w:cs="Arial"/>
          <w:sz w:val="26"/>
          <w:szCs w:val="26"/>
        </w:rPr>
      </w:pPr>
      <w:r w:rsidRPr="0055714B">
        <w:rPr>
          <w:rFonts w:ascii="Arial" w:hAnsi="Arial" w:cs="Arial"/>
          <w:sz w:val="26"/>
          <w:szCs w:val="26"/>
        </w:rPr>
        <w:t>develop their mathematical knowledge, in part through solving problems and evaluating the outcomes, including multi-step problems</w:t>
      </w:r>
    </w:p>
    <w:p w:rsidR="0033599D" w:rsidRPr="0055714B" w:rsidRDefault="0033599D" w:rsidP="0033599D">
      <w:pPr>
        <w:numPr>
          <w:ilvl w:val="0"/>
          <w:numId w:val="18"/>
        </w:numPr>
        <w:spacing w:line="360" w:lineRule="auto"/>
        <w:contextualSpacing/>
        <w:rPr>
          <w:rFonts w:ascii="Arial" w:hAnsi="Arial" w:cs="Arial"/>
          <w:sz w:val="26"/>
          <w:szCs w:val="26"/>
        </w:rPr>
      </w:pPr>
      <w:r w:rsidRPr="0055714B">
        <w:rPr>
          <w:rFonts w:ascii="Arial" w:hAnsi="Arial" w:cs="Arial"/>
          <w:sz w:val="26"/>
          <w:szCs w:val="26"/>
        </w:rPr>
        <w:t>develop their use of formal mathematical knowledge to interpret and solve problems, including in financial mathematics</w:t>
      </w:r>
    </w:p>
    <w:p w:rsidR="0033599D" w:rsidRPr="0055714B" w:rsidRDefault="0033599D" w:rsidP="0033599D">
      <w:pPr>
        <w:numPr>
          <w:ilvl w:val="0"/>
          <w:numId w:val="18"/>
        </w:numPr>
        <w:spacing w:line="360" w:lineRule="auto"/>
        <w:contextualSpacing/>
        <w:rPr>
          <w:rFonts w:ascii="Arial" w:hAnsi="Arial" w:cs="Arial"/>
          <w:sz w:val="26"/>
          <w:szCs w:val="26"/>
        </w:rPr>
      </w:pPr>
      <w:r w:rsidRPr="0055714B">
        <w:rPr>
          <w:rFonts w:ascii="Arial" w:hAnsi="Arial" w:cs="Arial"/>
          <w:sz w:val="26"/>
          <w:szCs w:val="26"/>
        </w:rPr>
        <w:t>begin to model situations mathematically and express the results using a range of formal mathematical representations</w:t>
      </w:r>
    </w:p>
    <w:p w:rsidR="0033599D" w:rsidRPr="00FB3564" w:rsidRDefault="0033599D" w:rsidP="0033599D">
      <w:pPr>
        <w:numPr>
          <w:ilvl w:val="0"/>
          <w:numId w:val="18"/>
        </w:numPr>
        <w:spacing w:line="360" w:lineRule="auto"/>
        <w:contextualSpacing/>
        <w:rPr>
          <w:rFonts w:ascii="Arial" w:hAnsi="Arial" w:cs="Arial"/>
          <w:sz w:val="26"/>
          <w:szCs w:val="26"/>
        </w:rPr>
      </w:pPr>
      <w:r w:rsidRPr="0055714B">
        <w:rPr>
          <w:rFonts w:ascii="Arial" w:hAnsi="Arial" w:cs="Arial"/>
          <w:sz w:val="26"/>
          <w:szCs w:val="26"/>
        </w:rPr>
        <w:t xml:space="preserve">select appropriate concepts, methods and techniques </w:t>
      </w:r>
      <w:r>
        <w:rPr>
          <w:rFonts w:ascii="Arial" w:hAnsi="Arial" w:cs="Arial"/>
          <w:sz w:val="26"/>
          <w:szCs w:val="26"/>
        </w:rPr>
        <w:t>to apply to unfamiliar and non-</w:t>
      </w:r>
      <w:r w:rsidRPr="0055714B">
        <w:rPr>
          <w:rFonts w:ascii="Arial" w:hAnsi="Arial" w:cs="Arial"/>
          <w:sz w:val="26"/>
          <w:szCs w:val="26"/>
        </w:rPr>
        <w:t>routine problems.</w:t>
      </w:r>
    </w:p>
    <w:p w:rsidR="0033599D" w:rsidRDefault="0033599D" w:rsidP="0033599D">
      <w:pPr>
        <w:spacing w:line="360" w:lineRule="auto"/>
        <w:contextualSpacing/>
        <w:rPr>
          <w:rFonts w:ascii="Arial" w:hAnsi="Arial" w:cs="Arial"/>
          <w:sz w:val="26"/>
          <w:szCs w:val="26"/>
          <w:lang w:val="en-US"/>
        </w:rPr>
      </w:pPr>
    </w:p>
    <w:p w:rsidR="0033599D" w:rsidRDefault="0033599D" w:rsidP="0033599D">
      <w:pPr>
        <w:spacing w:line="360" w:lineRule="auto"/>
        <w:contextualSpacing/>
        <w:rPr>
          <w:rFonts w:ascii="Arial" w:hAnsi="Arial" w:cs="Arial"/>
          <w:sz w:val="26"/>
          <w:szCs w:val="26"/>
          <w:lang w:val="en-US"/>
        </w:rPr>
      </w:pPr>
      <w:r>
        <w:rPr>
          <w:rFonts w:ascii="Arial" w:hAnsi="Arial" w:cs="Arial"/>
          <w:sz w:val="26"/>
          <w:szCs w:val="26"/>
          <w:lang w:val="en-US"/>
        </w:rPr>
        <w:t>The NCETM will be developing further resources to support the development and embedding of these skills.</w:t>
      </w:r>
    </w:p>
    <w:p w:rsidR="004E6B92" w:rsidRDefault="004E6B92">
      <w:pPr>
        <w:rPr>
          <w:rFonts w:ascii="Arial" w:hAnsi="Arial"/>
          <w:b/>
          <w:bCs/>
          <w:sz w:val="32"/>
          <w:szCs w:val="28"/>
        </w:rPr>
      </w:pPr>
      <w:r>
        <w:rPr>
          <w:rFonts w:ascii="Arial" w:hAnsi="Arial"/>
          <w:b/>
          <w:bCs/>
          <w:sz w:val="32"/>
          <w:szCs w:val="28"/>
        </w:rPr>
        <w:br w:type="page"/>
      </w:r>
    </w:p>
    <w:p w:rsidR="00493C17" w:rsidRPr="00246D45" w:rsidRDefault="00493C17" w:rsidP="00493C17">
      <w:pPr>
        <w:spacing w:line="360" w:lineRule="auto"/>
        <w:contextualSpacing/>
        <w:jc w:val="center"/>
        <w:rPr>
          <w:rFonts w:ascii="Arial" w:hAnsi="Arial" w:cs="Arial"/>
          <w:b/>
          <w:sz w:val="32"/>
          <w:szCs w:val="30"/>
          <w:lang w:val="en-US"/>
        </w:rPr>
      </w:pPr>
      <w:r>
        <w:rPr>
          <w:rFonts w:ascii="Arial" w:hAnsi="Arial"/>
          <w:b/>
          <w:bCs/>
          <w:sz w:val="32"/>
          <w:szCs w:val="28"/>
        </w:rPr>
        <w:t>Probability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70"/>
        <w:gridCol w:w="5070"/>
        <w:gridCol w:w="5070"/>
      </w:tblGrid>
      <w:tr w:rsidR="00493C17" w:rsidRPr="0044230D">
        <w:tc>
          <w:tcPr>
            <w:tcW w:w="5070" w:type="dxa"/>
            <w:shd w:val="clear" w:color="auto" w:fill="2675B7"/>
            <w:vAlign w:val="center"/>
          </w:tcPr>
          <w:p w:rsidR="00493C17" w:rsidRPr="0044230D" w:rsidRDefault="00493C17" w:rsidP="00493C17">
            <w:pPr>
              <w:spacing w:line="360" w:lineRule="auto"/>
              <w:contextualSpacing/>
              <w:jc w:val="center"/>
              <w:rPr>
                <w:rFonts w:ascii="Arial" w:hAnsi="Arial" w:cs="Arial"/>
                <w:b/>
                <w:color w:val="FFFFFF"/>
                <w:szCs w:val="30"/>
                <w:lang w:val="en-US"/>
              </w:rPr>
            </w:pPr>
            <w:r w:rsidRPr="0044230D">
              <w:rPr>
                <w:rFonts w:ascii="Arial" w:hAnsi="Arial" w:cs="Arial"/>
                <w:b/>
                <w:color w:val="FFFFFF"/>
                <w:szCs w:val="30"/>
                <w:lang w:val="en-US"/>
              </w:rPr>
              <w:t>Year 7</w:t>
            </w:r>
          </w:p>
        </w:tc>
        <w:tc>
          <w:tcPr>
            <w:tcW w:w="5070" w:type="dxa"/>
            <w:shd w:val="clear" w:color="auto" w:fill="2675B7"/>
            <w:vAlign w:val="center"/>
          </w:tcPr>
          <w:p w:rsidR="00493C17" w:rsidRPr="0044230D" w:rsidRDefault="00493C17" w:rsidP="00493C17">
            <w:pPr>
              <w:spacing w:line="360" w:lineRule="auto"/>
              <w:contextualSpacing/>
              <w:jc w:val="center"/>
              <w:rPr>
                <w:rFonts w:ascii="Arial" w:hAnsi="Arial" w:cs="Arial"/>
                <w:b/>
                <w:szCs w:val="30"/>
                <w:lang w:val="en-US"/>
              </w:rPr>
            </w:pPr>
            <w:r w:rsidRPr="0044230D">
              <w:rPr>
                <w:rFonts w:ascii="Arial" w:hAnsi="Arial" w:cs="Arial"/>
                <w:b/>
                <w:color w:val="FFFFFF"/>
                <w:szCs w:val="30"/>
                <w:lang w:val="en-US"/>
              </w:rPr>
              <w:t>Year 8</w:t>
            </w:r>
          </w:p>
        </w:tc>
        <w:tc>
          <w:tcPr>
            <w:tcW w:w="5070" w:type="dxa"/>
            <w:shd w:val="clear" w:color="auto" w:fill="2675B7"/>
            <w:vAlign w:val="center"/>
          </w:tcPr>
          <w:p w:rsidR="00493C17" w:rsidRPr="0044230D" w:rsidRDefault="00493C17" w:rsidP="00493C17">
            <w:pPr>
              <w:spacing w:line="360" w:lineRule="auto"/>
              <w:contextualSpacing/>
              <w:jc w:val="center"/>
              <w:rPr>
                <w:rFonts w:ascii="Arial" w:hAnsi="Arial" w:cs="Arial"/>
                <w:b/>
                <w:szCs w:val="30"/>
                <w:lang w:val="en-US"/>
              </w:rPr>
            </w:pPr>
            <w:r w:rsidRPr="0044230D">
              <w:rPr>
                <w:rFonts w:ascii="Arial" w:hAnsi="Arial" w:cs="Arial"/>
                <w:b/>
                <w:color w:val="FFFFFF"/>
                <w:szCs w:val="30"/>
                <w:lang w:val="en-US"/>
              </w:rPr>
              <w:t>Year 9</w:t>
            </w:r>
          </w:p>
        </w:tc>
      </w:tr>
      <w:tr w:rsidR="00493C17" w:rsidRPr="0044230D">
        <w:tc>
          <w:tcPr>
            <w:tcW w:w="5070" w:type="dxa"/>
          </w:tcPr>
          <w:p w:rsidR="00493C17" w:rsidRPr="00947807" w:rsidRDefault="00493C17" w:rsidP="00493C17">
            <w:pPr>
              <w:pStyle w:val="Default"/>
              <w:spacing w:line="360" w:lineRule="auto"/>
              <w:contextualSpacing/>
              <w:rPr>
                <w:sz w:val="22"/>
                <w:szCs w:val="23"/>
              </w:rPr>
            </w:pPr>
            <w:r>
              <w:rPr>
                <w:sz w:val="22"/>
                <w:szCs w:val="23"/>
              </w:rPr>
              <w:t>record and</w:t>
            </w:r>
            <w:r w:rsidRPr="00947807">
              <w:rPr>
                <w:sz w:val="22"/>
                <w:szCs w:val="23"/>
              </w:rPr>
              <w:t xml:space="preserve"> describe the frequency of outcomes of simple probability experiments</w:t>
            </w:r>
            <w:r>
              <w:rPr>
                <w:sz w:val="22"/>
                <w:szCs w:val="23"/>
              </w:rPr>
              <w:t>;</w:t>
            </w:r>
            <w:r w:rsidRPr="00947807">
              <w:rPr>
                <w:sz w:val="22"/>
                <w:szCs w:val="23"/>
              </w:rPr>
              <w:t xml:space="preserve"> </w:t>
            </w:r>
            <w:r>
              <w:rPr>
                <w:sz w:val="22"/>
                <w:szCs w:val="23"/>
              </w:rPr>
              <w:t>try to explain their findings using their own ideas about randomness and possible outcomes; make and explain their own judgments about the fairness of situations;</w:t>
            </w:r>
            <w:r w:rsidRPr="00947807">
              <w:rPr>
                <w:sz w:val="22"/>
                <w:szCs w:val="23"/>
              </w:rPr>
              <w:t xml:space="preserve"> </w:t>
            </w:r>
            <w:r>
              <w:rPr>
                <w:sz w:val="22"/>
                <w:szCs w:val="23"/>
              </w:rPr>
              <w:t>understand that the probability of an impossible event is 0, and of a certain event is 1, and begin to use</w:t>
            </w:r>
            <w:r w:rsidRPr="00947807">
              <w:rPr>
                <w:sz w:val="22"/>
                <w:szCs w:val="23"/>
              </w:rPr>
              <w:t xml:space="preserve"> the 0-1 probability scale </w:t>
            </w:r>
          </w:p>
        </w:tc>
        <w:tc>
          <w:tcPr>
            <w:tcW w:w="5070" w:type="dxa"/>
          </w:tcPr>
          <w:p w:rsidR="00493C17" w:rsidRPr="00947807" w:rsidRDefault="00493C17" w:rsidP="00493C17">
            <w:pPr>
              <w:pStyle w:val="Default"/>
              <w:spacing w:line="360" w:lineRule="auto"/>
              <w:contextualSpacing/>
              <w:rPr>
                <w:sz w:val="22"/>
                <w:szCs w:val="23"/>
              </w:rPr>
            </w:pPr>
            <w:r>
              <w:rPr>
                <w:sz w:val="22"/>
                <w:szCs w:val="23"/>
              </w:rPr>
              <w:t>record and</w:t>
            </w:r>
            <w:r w:rsidRPr="00947807">
              <w:rPr>
                <w:sz w:val="22"/>
                <w:szCs w:val="23"/>
              </w:rPr>
              <w:t xml:space="preserve"> describe the frequency of outcomes of simple probability experiments</w:t>
            </w:r>
            <w:r>
              <w:rPr>
                <w:sz w:val="22"/>
                <w:szCs w:val="23"/>
              </w:rPr>
              <w:t xml:space="preserve">; in the light of experience begin to refine their own ideas about causal connections between aspects of experiments that involve </w:t>
            </w:r>
            <w:r w:rsidRPr="00947807">
              <w:rPr>
                <w:sz w:val="22"/>
                <w:szCs w:val="23"/>
              </w:rPr>
              <w:t>randomness</w:t>
            </w:r>
            <w:r>
              <w:rPr>
                <w:sz w:val="22"/>
                <w:szCs w:val="23"/>
              </w:rPr>
              <w:t xml:space="preserve"> and </w:t>
            </w:r>
            <w:r w:rsidRPr="00947807">
              <w:rPr>
                <w:sz w:val="22"/>
                <w:szCs w:val="23"/>
              </w:rPr>
              <w:t>equall</w:t>
            </w:r>
            <w:r>
              <w:rPr>
                <w:sz w:val="22"/>
                <w:szCs w:val="23"/>
              </w:rPr>
              <w:t>y and unequally likely outcomes and the properties of data distributions; make better informed judgments about the fairness of situations; begin to allocate probabilities to particular outcomes by considering all possible outcomes</w:t>
            </w:r>
            <w:r w:rsidRPr="00947807">
              <w:rPr>
                <w:sz w:val="22"/>
                <w:szCs w:val="23"/>
              </w:rPr>
              <w:t xml:space="preserve">  </w:t>
            </w:r>
          </w:p>
        </w:tc>
        <w:tc>
          <w:tcPr>
            <w:tcW w:w="5070" w:type="dxa"/>
          </w:tcPr>
          <w:p w:rsidR="00493C17" w:rsidRPr="00947807" w:rsidRDefault="00493C17" w:rsidP="00493C17">
            <w:pPr>
              <w:pStyle w:val="Default"/>
              <w:spacing w:line="360" w:lineRule="auto"/>
              <w:contextualSpacing/>
              <w:rPr>
                <w:sz w:val="22"/>
                <w:szCs w:val="23"/>
              </w:rPr>
            </w:pPr>
            <w:r w:rsidRPr="00947807">
              <w:rPr>
                <w:sz w:val="22"/>
                <w:szCs w:val="23"/>
              </w:rPr>
              <w:t>record, describe and analyse</w:t>
            </w:r>
            <w:bookmarkStart w:id="0" w:name="_GoBack"/>
            <w:bookmarkEnd w:id="0"/>
            <w:r w:rsidRPr="00947807">
              <w:rPr>
                <w:sz w:val="22"/>
                <w:szCs w:val="23"/>
              </w:rPr>
              <w:t xml:space="preserve"> the frequency of outcomes of simple probability experiments involving randomness, fairness, equally and unequally likely outcomes, using appropriate language and the 0-1 probability scale</w:t>
            </w:r>
            <w:r>
              <w:rPr>
                <w:sz w:val="22"/>
                <w:szCs w:val="23"/>
              </w:rPr>
              <w:t>; begin to notice the same patterns in different situations</w:t>
            </w:r>
          </w:p>
        </w:tc>
      </w:tr>
      <w:tr w:rsidR="00493C17" w:rsidRPr="0044230D">
        <w:tc>
          <w:tcPr>
            <w:tcW w:w="5070" w:type="dxa"/>
          </w:tcPr>
          <w:p w:rsidR="00493C17" w:rsidRPr="00B228AF" w:rsidRDefault="00493C17" w:rsidP="00493C17">
            <w:pPr>
              <w:pStyle w:val="Default"/>
              <w:spacing w:line="360" w:lineRule="auto"/>
              <w:contextualSpacing/>
              <w:rPr>
                <w:sz w:val="22"/>
                <w:szCs w:val="16"/>
              </w:rPr>
            </w:pPr>
          </w:p>
        </w:tc>
        <w:tc>
          <w:tcPr>
            <w:tcW w:w="5070" w:type="dxa"/>
          </w:tcPr>
          <w:p w:rsidR="00493C17" w:rsidRPr="00947807" w:rsidRDefault="00493C17" w:rsidP="00493C17">
            <w:pPr>
              <w:pStyle w:val="Default"/>
              <w:spacing w:line="360" w:lineRule="auto"/>
              <w:ind w:left="33"/>
              <w:contextualSpacing/>
              <w:rPr>
                <w:sz w:val="22"/>
                <w:szCs w:val="23"/>
              </w:rPr>
            </w:pPr>
            <w:r w:rsidRPr="00947807">
              <w:rPr>
                <w:sz w:val="22"/>
                <w:szCs w:val="23"/>
              </w:rPr>
              <w:t xml:space="preserve">understand </w:t>
            </w:r>
            <w:r>
              <w:rPr>
                <w:sz w:val="22"/>
                <w:szCs w:val="23"/>
              </w:rPr>
              <w:t>why</w:t>
            </w:r>
            <w:r w:rsidR="00A01F61">
              <w:rPr>
                <w:sz w:val="22"/>
                <w:szCs w:val="23"/>
              </w:rPr>
              <w:t>,</w:t>
            </w:r>
            <w:r>
              <w:rPr>
                <w:sz w:val="22"/>
                <w:szCs w:val="23"/>
              </w:rPr>
              <w:t xml:space="preserve"> when there are only two possible outcomes</w:t>
            </w:r>
            <w:r w:rsidR="00A01F61">
              <w:rPr>
                <w:sz w:val="22"/>
                <w:szCs w:val="23"/>
              </w:rPr>
              <w:t>,</w:t>
            </w:r>
            <w:r>
              <w:rPr>
                <w:sz w:val="22"/>
                <w:szCs w:val="23"/>
              </w:rPr>
              <w:t xml:space="preserve"> </w:t>
            </w:r>
            <w:r w:rsidRPr="00947807">
              <w:rPr>
                <w:sz w:val="22"/>
                <w:szCs w:val="23"/>
              </w:rPr>
              <w:t xml:space="preserve">the probabilities of </w:t>
            </w:r>
            <w:r>
              <w:rPr>
                <w:sz w:val="22"/>
                <w:szCs w:val="23"/>
              </w:rPr>
              <w:t>the two possible</w:t>
            </w:r>
            <w:r w:rsidRPr="00947807">
              <w:rPr>
                <w:sz w:val="22"/>
                <w:szCs w:val="23"/>
              </w:rPr>
              <w:t xml:space="preserve"> outcomes sum to 1 </w:t>
            </w:r>
          </w:p>
        </w:tc>
        <w:tc>
          <w:tcPr>
            <w:tcW w:w="5070" w:type="dxa"/>
          </w:tcPr>
          <w:p w:rsidR="00493C17" w:rsidRPr="00947807" w:rsidRDefault="00493C17" w:rsidP="00493C17">
            <w:pPr>
              <w:pStyle w:val="Default"/>
              <w:spacing w:line="360" w:lineRule="auto"/>
              <w:ind w:left="33"/>
              <w:contextualSpacing/>
              <w:rPr>
                <w:sz w:val="22"/>
                <w:szCs w:val="23"/>
              </w:rPr>
            </w:pPr>
            <w:r w:rsidRPr="00947807">
              <w:rPr>
                <w:sz w:val="22"/>
                <w:szCs w:val="23"/>
              </w:rPr>
              <w:t>understand that the probabilities of all possible outcomes sum to 1</w:t>
            </w:r>
          </w:p>
        </w:tc>
      </w:tr>
      <w:tr w:rsidR="00493C17" w:rsidRPr="0044230D">
        <w:tc>
          <w:tcPr>
            <w:tcW w:w="5070" w:type="dxa"/>
          </w:tcPr>
          <w:p w:rsidR="00493C17" w:rsidRPr="00947807" w:rsidRDefault="00493C17" w:rsidP="00493C17">
            <w:pPr>
              <w:pStyle w:val="Default"/>
              <w:spacing w:line="360" w:lineRule="auto"/>
              <w:ind w:left="33"/>
              <w:contextualSpacing/>
              <w:rPr>
                <w:sz w:val="22"/>
                <w:szCs w:val="23"/>
              </w:rPr>
            </w:pPr>
            <w:r w:rsidRPr="00947807">
              <w:rPr>
                <w:sz w:val="22"/>
                <w:szCs w:val="23"/>
              </w:rPr>
              <w:t>enumerate sets systematically</w:t>
            </w:r>
            <w:r>
              <w:rPr>
                <w:sz w:val="22"/>
                <w:szCs w:val="23"/>
              </w:rPr>
              <w:t>, devi</w:t>
            </w:r>
            <w:r w:rsidRPr="00947807">
              <w:rPr>
                <w:sz w:val="22"/>
                <w:szCs w:val="23"/>
              </w:rPr>
              <w:t xml:space="preserve">sing </w:t>
            </w:r>
            <w:r>
              <w:rPr>
                <w:sz w:val="22"/>
                <w:szCs w:val="23"/>
              </w:rPr>
              <w:t>their own</w:t>
            </w:r>
            <w:r w:rsidRPr="00947807">
              <w:rPr>
                <w:sz w:val="22"/>
                <w:szCs w:val="23"/>
              </w:rPr>
              <w:t xml:space="preserve"> diagrams </w:t>
            </w:r>
          </w:p>
        </w:tc>
        <w:tc>
          <w:tcPr>
            <w:tcW w:w="5070" w:type="dxa"/>
          </w:tcPr>
          <w:p w:rsidR="00493C17" w:rsidRPr="00947807" w:rsidRDefault="00493C17" w:rsidP="00A01F61">
            <w:pPr>
              <w:pStyle w:val="Default"/>
              <w:spacing w:line="360" w:lineRule="auto"/>
              <w:ind w:left="33"/>
              <w:contextualSpacing/>
              <w:rPr>
                <w:sz w:val="22"/>
                <w:szCs w:val="23"/>
              </w:rPr>
            </w:pPr>
            <w:r w:rsidRPr="00947807">
              <w:rPr>
                <w:sz w:val="22"/>
                <w:szCs w:val="23"/>
              </w:rPr>
              <w:t xml:space="preserve">enumerate sets systematically </w:t>
            </w:r>
            <w:r>
              <w:rPr>
                <w:sz w:val="22"/>
                <w:szCs w:val="23"/>
              </w:rPr>
              <w:t>making use of tables and</w:t>
            </w:r>
            <w:r w:rsidRPr="00947807">
              <w:rPr>
                <w:sz w:val="22"/>
                <w:szCs w:val="23"/>
              </w:rPr>
              <w:t xml:space="preserve"> grids</w:t>
            </w:r>
          </w:p>
        </w:tc>
        <w:tc>
          <w:tcPr>
            <w:tcW w:w="5070" w:type="dxa"/>
          </w:tcPr>
          <w:p w:rsidR="00493C17" w:rsidRPr="00947807" w:rsidRDefault="00493C17" w:rsidP="00493C17">
            <w:pPr>
              <w:pStyle w:val="Default"/>
              <w:spacing w:line="360" w:lineRule="auto"/>
              <w:ind w:left="33"/>
              <w:contextualSpacing/>
              <w:rPr>
                <w:sz w:val="22"/>
                <w:szCs w:val="23"/>
              </w:rPr>
            </w:pPr>
            <w:r w:rsidRPr="00947807">
              <w:rPr>
                <w:sz w:val="22"/>
                <w:szCs w:val="23"/>
              </w:rPr>
              <w:t>enumerate sets and unions/intersections of sets systematically, using tables, grids and Venn diagrams</w:t>
            </w:r>
          </w:p>
        </w:tc>
      </w:tr>
      <w:tr w:rsidR="00493C17" w:rsidRPr="0044230D">
        <w:tc>
          <w:tcPr>
            <w:tcW w:w="5070" w:type="dxa"/>
          </w:tcPr>
          <w:p w:rsidR="00493C17" w:rsidRPr="00B228AF" w:rsidRDefault="00493C17" w:rsidP="00493C17">
            <w:pPr>
              <w:pStyle w:val="Default"/>
              <w:spacing w:line="360" w:lineRule="auto"/>
              <w:contextualSpacing/>
              <w:rPr>
                <w:sz w:val="22"/>
                <w:szCs w:val="23"/>
              </w:rPr>
            </w:pPr>
          </w:p>
        </w:tc>
        <w:tc>
          <w:tcPr>
            <w:tcW w:w="5070" w:type="dxa"/>
          </w:tcPr>
          <w:p w:rsidR="00493C17" w:rsidRPr="00B228AF" w:rsidRDefault="00493C17" w:rsidP="00493C17">
            <w:pPr>
              <w:spacing w:line="360" w:lineRule="auto"/>
              <w:contextualSpacing/>
              <w:rPr>
                <w:rFonts w:ascii="Arial" w:hAnsi="Arial"/>
                <w:color w:val="000000"/>
                <w:sz w:val="22"/>
                <w:szCs w:val="23"/>
              </w:rPr>
            </w:pPr>
          </w:p>
        </w:tc>
        <w:tc>
          <w:tcPr>
            <w:tcW w:w="5070" w:type="dxa"/>
          </w:tcPr>
          <w:p w:rsidR="00493C17" w:rsidRPr="00934037" w:rsidRDefault="00493C17" w:rsidP="00493C17">
            <w:pPr>
              <w:pStyle w:val="Default"/>
              <w:spacing w:line="360" w:lineRule="auto"/>
              <w:contextualSpacing/>
              <w:rPr>
                <w:sz w:val="22"/>
                <w:szCs w:val="23"/>
              </w:rPr>
            </w:pPr>
            <w:r w:rsidRPr="007A5C92">
              <w:rPr>
                <w:sz w:val="22"/>
                <w:szCs w:val="23"/>
              </w:rPr>
              <w:t>generate theoretical sample spaces for single and combined events with equally likely, mutually exclusive outcomes and use these to calcul</w:t>
            </w:r>
            <w:r>
              <w:rPr>
                <w:sz w:val="22"/>
                <w:szCs w:val="23"/>
              </w:rPr>
              <w:t xml:space="preserve">ate theoretical probabilities. </w:t>
            </w:r>
          </w:p>
        </w:tc>
      </w:tr>
    </w:tbl>
    <w:p w:rsidR="00493C17" w:rsidRDefault="00493C17" w:rsidP="00493C17">
      <w:pPr>
        <w:spacing w:line="360" w:lineRule="auto"/>
        <w:contextualSpacing/>
        <w:jc w:val="center"/>
        <w:rPr>
          <w:rFonts w:ascii="Arial" w:hAnsi="Arial"/>
          <w:b/>
          <w:bCs/>
          <w:sz w:val="32"/>
          <w:szCs w:val="28"/>
        </w:rPr>
      </w:pPr>
    </w:p>
    <w:p w:rsidR="00FB53AF" w:rsidRDefault="00FB53AF">
      <w:pPr>
        <w:rPr>
          <w:rFonts w:ascii="Arial" w:hAnsi="Arial"/>
          <w:b/>
          <w:bCs/>
          <w:sz w:val="32"/>
          <w:szCs w:val="28"/>
        </w:rPr>
      </w:pPr>
      <w:r>
        <w:rPr>
          <w:rFonts w:ascii="Arial" w:hAnsi="Arial"/>
          <w:b/>
          <w:bCs/>
          <w:sz w:val="32"/>
          <w:szCs w:val="28"/>
        </w:rPr>
        <w:br w:type="page"/>
      </w:r>
    </w:p>
    <w:p w:rsidR="00493C17" w:rsidRPr="00246D45" w:rsidRDefault="00493C17" w:rsidP="00493C17">
      <w:pPr>
        <w:spacing w:line="360" w:lineRule="auto"/>
        <w:contextualSpacing/>
        <w:jc w:val="center"/>
        <w:rPr>
          <w:rFonts w:ascii="Arial" w:hAnsi="Arial" w:cs="Arial"/>
          <w:b/>
          <w:sz w:val="32"/>
          <w:szCs w:val="30"/>
          <w:lang w:val="en-US"/>
        </w:rPr>
      </w:pPr>
      <w:r>
        <w:rPr>
          <w:rFonts w:ascii="Arial" w:hAnsi="Arial"/>
          <w:b/>
          <w:bCs/>
          <w:sz w:val="32"/>
          <w:szCs w:val="28"/>
        </w:rPr>
        <w:t>Statistics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70"/>
        <w:gridCol w:w="5070"/>
        <w:gridCol w:w="5070"/>
      </w:tblGrid>
      <w:tr w:rsidR="00493C17" w:rsidRPr="0044230D">
        <w:tc>
          <w:tcPr>
            <w:tcW w:w="5070" w:type="dxa"/>
            <w:shd w:val="clear" w:color="auto" w:fill="2675B7"/>
            <w:vAlign w:val="center"/>
          </w:tcPr>
          <w:p w:rsidR="00493C17" w:rsidRPr="0044230D" w:rsidRDefault="00493C17" w:rsidP="00493C17">
            <w:pPr>
              <w:spacing w:line="360" w:lineRule="auto"/>
              <w:contextualSpacing/>
              <w:jc w:val="center"/>
              <w:rPr>
                <w:rFonts w:ascii="Arial" w:hAnsi="Arial" w:cs="Arial"/>
                <w:b/>
                <w:color w:val="FFFFFF"/>
                <w:szCs w:val="30"/>
                <w:lang w:val="en-US"/>
              </w:rPr>
            </w:pPr>
            <w:r w:rsidRPr="0044230D">
              <w:rPr>
                <w:rFonts w:ascii="Arial" w:hAnsi="Arial" w:cs="Arial"/>
                <w:b/>
                <w:color w:val="FFFFFF"/>
                <w:szCs w:val="30"/>
                <w:lang w:val="en-US"/>
              </w:rPr>
              <w:t>Year 7</w:t>
            </w:r>
          </w:p>
        </w:tc>
        <w:tc>
          <w:tcPr>
            <w:tcW w:w="5070" w:type="dxa"/>
            <w:shd w:val="clear" w:color="auto" w:fill="2675B7"/>
            <w:vAlign w:val="center"/>
          </w:tcPr>
          <w:p w:rsidR="00493C17" w:rsidRPr="0044230D" w:rsidRDefault="00493C17" w:rsidP="00493C17">
            <w:pPr>
              <w:spacing w:line="360" w:lineRule="auto"/>
              <w:contextualSpacing/>
              <w:jc w:val="center"/>
              <w:rPr>
                <w:rFonts w:ascii="Arial" w:hAnsi="Arial" w:cs="Arial"/>
                <w:b/>
                <w:szCs w:val="30"/>
                <w:lang w:val="en-US"/>
              </w:rPr>
            </w:pPr>
            <w:r w:rsidRPr="0044230D">
              <w:rPr>
                <w:rFonts w:ascii="Arial" w:hAnsi="Arial" w:cs="Arial"/>
                <w:b/>
                <w:color w:val="FFFFFF"/>
                <w:szCs w:val="30"/>
                <w:lang w:val="en-US"/>
              </w:rPr>
              <w:t>Year 8</w:t>
            </w:r>
          </w:p>
        </w:tc>
        <w:tc>
          <w:tcPr>
            <w:tcW w:w="5070" w:type="dxa"/>
            <w:shd w:val="clear" w:color="auto" w:fill="2675B7"/>
            <w:vAlign w:val="center"/>
          </w:tcPr>
          <w:p w:rsidR="00493C17" w:rsidRPr="0044230D" w:rsidRDefault="00493C17" w:rsidP="00493C17">
            <w:pPr>
              <w:spacing w:line="360" w:lineRule="auto"/>
              <w:contextualSpacing/>
              <w:jc w:val="center"/>
              <w:rPr>
                <w:rFonts w:ascii="Arial" w:hAnsi="Arial" w:cs="Arial"/>
                <w:b/>
                <w:szCs w:val="30"/>
                <w:lang w:val="en-US"/>
              </w:rPr>
            </w:pPr>
            <w:r w:rsidRPr="0044230D">
              <w:rPr>
                <w:rFonts w:ascii="Arial" w:hAnsi="Arial" w:cs="Arial"/>
                <w:b/>
                <w:color w:val="FFFFFF"/>
                <w:szCs w:val="30"/>
                <w:lang w:val="en-US"/>
              </w:rPr>
              <w:t>Year 9</w:t>
            </w:r>
          </w:p>
        </w:tc>
      </w:tr>
      <w:tr w:rsidR="00493C17" w:rsidRPr="0044230D">
        <w:tc>
          <w:tcPr>
            <w:tcW w:w="5070" w:type="dxa"/>
          </w:tcPr>
          <w:p w:rsidR="00493C17" w:rsidRPr="00663FA1" w:rsidRDefault="00493C17" w:rsidP="00493C17">
            <w:pPr>
              <w:pStyle w:val="Default"/>
              <w:spacing w:line="360" w:lineRule="auto"/>
              <w:contextualSpacing/>
              <w:rPr>
                <w:sz w:val="22"/>
                <w:szCs w:val="23"/>
              </w:rPr>
            </w:pPr>
            <w:r w:rsidRPr="00292FB9">
              <w:rPr>
                <w:sz w:val="22"/>
                <w:szCs w:val="23"/>
              </w:rPr>
              <w:t xml:space="preserve">describe, interpret and compare observed distributions of a single variable through: appropriate graphical representation involving discrete, including grouped, data; and appropriate measures of central tendency (mean, mode, median) and spread (range) </w:t>
            </w:r>
          </w:p>
        </w:tc>
        <w:tc>
          <w:tcPr>
            <w:tcW w:w="5070" w:type="dxa"/>
          </w:tcPr>
          <w:p w:rsidR="00493C17" w:rsidRPr="00663FA1" w:rsidRDefault="00493C17" w:rsidP="00493C17">
            <w:pPr>
              <w:pStyle w:val="Default"/>
              <w:spacing w:line="360" w:lineRule="auto"/>
              <w:contextualSpacing/>
              <w:rPr>
                <w:sz w:val="22"/>
                <w:szCs w:val="23"/>
              </w:rPr>
            </w:pPr>
            <w:r w:rsidRPr="00292FB9">
              <w:rPr>
                <w:sz w:val="22"/>
                <w:szCs w:val="23"/>
              </w:rPr>
              <w:t xml:space="preserve">describe, interpret and compare observed distributions of a single variable through: appropriate graphical representation involving discrete, </w:t>
            </w:r>
            <w:r>
              <w:rPr>
                <w:sz w:val="22"/>
                <w:szCs w:val="23"/>
              </w:rPr>
              <w:t>continuous and grouped</w:t>
            </w:r>
            <w:r w:rsidRPr="00292FB9">
              <w:rPr>
                <w:sz w:val="22"/>
                <w:szCs w:val="23"/>
              </w:rPr>
              <w:t xml:space="preserve"> data; and appropriate measures of central tendency (mean, mode, median) and spread (range)</w:t>
            </w:r>
          </w:p>
        </w:tc>
        <w:tc>
          <w:tcPr>
            <w:tcW w:w="5070" w:type="dxa"/>
          </w:tcPr>
          <w:p w:rsidR="00493C17" w:rsidRPr="00663FA1" w:rsidRDefault="00493C17" w:rsidP="00493C17">
            <w:pPr>
              <w:pStyle w:val="Default"/>
              <w:spacing w:line="360" w:lineRule="auto"/>
              <w:contextualSpacing/>
              <w:rPr>
                <w:sz w:val="22"/>
                <w:szCs w:val="23"/>
              </w:rPr>
            </w:pPr>
            <w:r w:rsidRPr="00292FB9">
              <w:rPr>
                <w:sz w:val="22"/>
                <w:szCs w:val="23"/>
              </w:rPr>
              <w:t xml:space="preserve">describe, interpret and compare observed distributions of a single variable through: appropriate graphical representation involving discrete, </w:t>
            </w:r>
            <w:r>
              <w:rPr>
                <w:sz w:val="22"/>
                <w:szCs w:val="23"/>
              </w:rPr>
              <w:t>continuous and</w:t>
            </w:r>
            <w:r w:rsidRPr="00292FB9">
              <w:rPr>
                <w:sz w:val="22"/>
                <w:szCs w:val="23"/>
              </w:rPr>
              <w:t xml:space="preserve"> grouped, data; and appropriate measures of central tendency (mean, mode, median) and spread (range</w:t>
            </w:r>
            <w:r w:rsidR="00015780">
              <w:rPr>
                <w:sz w:val="22"/>
                <w:szCs w:val="23"/>
              </w:rPr>
              <w:t>,</w:t>
            </w:r>
            <w:r>
              <w:rPr>
                <w:sz w:val="22"/>
                <w:szCs w:val="23"/>
              </w:rPr>
              <w:t xml:space="preserve"> consideration of outliers</w:t>
            </w:r>
            <w:r w:rsidRPr="00292FB9">
              <w:rPr>
                <w:sz w:val="22"/>
                <w:szCs w:val="23"/>
              </w:rPr>
              <w:t>)</w:t>
            </w:r>
          </w:p>
        </w:tc>
      </w:tr>
      <w:tr w:rsidR="00493C17" w:rsidRPr="0044230D">
        <w:tc>
          <w:tcPr>
            <w:tcW w:w="5070" w:type="dxa"/>
          </w:tcPr>
          <w:p w:rsidR="00493C17" w:rsidRPr="008B794D" w:rsidRDefault="00493C17" w:rsidP="00493C17">
            <w:pPr>
              <w:pStyle w:val="Default"/>
              <w:spacing w:line="360" w:lineRule="auto"/>
              <w:contextualSpacing/>
              <w:rPr>
                <w:sz w:val="22"/>
                <w:szCs w:val="23"/>
              </w:rPr>
            </w:pPr>
            <w:r w:rsidRPr="008B794D">
              <w:rPr>
                <w:sz w:val="22"/>
                <w:szCs w:val="23"/>
              </w:rPr>
              <w:t xml:space="preserve">construct and interpret frequency tables, bar charts, pie charts, and pictograms for </w:t>
            </w:r>
            <w:r>
              <w:rPr>
                <w:sz w:val="22"/>
                <w:szCs w:val="23"/>
              </w:rPr>
              <w:t xml:space="preserve">simple </w:t>
            </w:r>
            <w:r w:rsidRPr="008B794D">
              <w:rPr>
                <w:sz w:val="22"/>
                <w:szCs w:val="23"/>
              </w:rPr>
              <w:t xml:space="preserve">categorical data, and vertical line (or bar) charts for </w:t>
            </w:r>
            <w:r>
              <w:rPr>
                <w:sz w:val="22"/>
                <w:szCs w:val="23"/>
              </w:rPr>
              <w:t xml:space="preserve">small sets of </w:t>
            </w:r>
            <w:r w:rsidRPr="008B794D">
              <w:rPr>
                <w:sz w:val="22"/>
                <w:szCs w:val="23"/>
              </w:rPr>
              <w:t>ungrouped</w:t>
            </w:r>
            <w:r>
              <w:rPr>
                <w:sz w:val="22"/>
                <w:szCs w:val="23"/>
              </w:rPr>
              <w:t xml:space="preserve"> </w:t>
            </w:r>
            <w:r w:rsidRPr="008B794D">
              <w:rPr>
                <w:sz w:val="22"/>
                <w:szCs w:val="23"/>
              </w:rPr>
              <w:t>numerical data and numerical data</w:t>
            </w:r>
            <w:r>
              <w:rPr>
                <w:sz w:val="22"/>
                <w:szCs w:val="23"/>
              </w:rPr>
              <w:t xml:space="preserve"> </w:t>
            </w:r>
            <w:r w:rsidRPr="008B794D">
              <w:rPr>
                <w:sz w:val="22"/>
                <w:szCs w:val="23"/>
              </w:rPr>
              <w:t>grouped</w:t>
            </w:r>
            <w:r>
              <w:rPr>
                <w:sz w:val="22"/>
                <w:szCs w:val="23"/>
              </w:rPr>
              <w:t xml:space="preserve"> into a small number of groups</w:t>
            </w:r>
            <w:r w:rsidRPr="008B794D">
              <w:rPr>
                <w:sz w:val="22"/>
                <w:szCs w:val="23"/>
              </w:rPr>
              <w:t xml:space="preserve"> </w:t>
            </w:r>
          </w:p>
        </w:tc>
        <w:tc>
          <w:tcPr>
            <w:tcW w:w="5070" w:type="dxa"/>
          </w:tcPr>
          <w:p w:rsidR="00493C17" w:rsidRPr="008B794D" w:rsidRDefault="00493C17" w:rsidP="00493C17">
            <w:pPr>
              <w:pStyle w:val="Default"/>
              <w:spacing w:line="360" w:lineRule="auto"/>
              <w:contextualSpacing/>
              <w:rPr>
                <w:sz w:val="22"/>
                <w:szCs w:val="23"/>
              </w:rPr>
            </w:pPr>
            <w:r w:rsidRPr="008B794D">
              <w:rPr>
                <w:sz w:val="22"/>
                <w:szCs w:val="23"/>
              </w:rPr>
              <w:t xml:space="preserve">construct and interpret frequency tables, bar charts, pie charts, and pictograms for </w:t>
            </w:r>
            <w:r>
              <w:rPr>
                <w:sz w:val="22"/>
                <w:szCs w:val="23"/>
              </w:rPr>
              <w:t xml:space="preserve">larger sets of </w:t>
            </w:r>
            <w:r w:rsidRPr="008B794D">
              <w:rPr>
                <w:sz w:val="22"/>
                <w:szCs w:val="23"/>
              </w:rPr>
              <w:t xml:space="preserve">categorical data, and vertical line (or bar) charts for </w:t>
            </w:r>
            <w:r>
              <w:rPr>
                <w:sz w:val="22"/>
                <w:szCs w:val="23"/>
              </w:rPr>
              <w:t xml:space="preserve">larger sets of </w:t>
            </w:r>
            <w:r w:rsidRPr="008B794D">
              <w:rPr>
                <w:sz w:val="22"/>
                <w:szCs w:val="23"/>
              </w:rPr>
              <w:t>ungrouped and grouped numerical data</w:t>
            </w:r>
          </w:p>
        </w:tc>
        <w:tc>
          <w:tcPr>
            <w:tcW w:w="5070" w:type="dxa"/>
          </w:tcPr>
          <w:p w:rsidR="00493C17" w:rsidRPr="008B794D" w:rsidRDefault="00493C17" w:rsidP="00493C17">
            <w:pPr>
              <w:pStyle w:val="Default"/>
              <w:spacing w:line="360" w:lineRule="auto"/>
              <w:contextualSpacing/>
              <w:rPr>
                <w:sz w:val="22"/>
                <w:szCs w:val="23"/>
              </w:rPr>
            </w:pPr>
            <w:r w:rsidRPr="008B794D">
              <w:rPr>
                <w:sz w:val="22"/>
                <w:szCs w:val="23"/>
              </w:rPr>
              <w:t>construct and interpret appropriate tables, charts, and diagrams, including frequency tables, bar charts, pie charts, and pictograms for categorical data, and vertical line (or bar) charts for ungrouped and grouped numerical data</w:t>
            </w:r>
          </w:p>
        </w:tc>
      </w:tr>
      <w:tr w:rsidR="00493C17" w:rsidRPr="0044230D">
        <w:tc>
          <w:tcPr>
            <w:tcW w:w="5070" w:type="dxa"/>
          </w:tcPr>
          <w:p w:rsidR="00493C17" w:rsidRPr="007A5C92" w:rsidRDefault="00493C17" w:rsidP="00015780">
            <w:pPr>
              <w:pStyle w:val="Default"/>
              <w:spacing w:line="360" w:lineRule="auto"/>
              <w:contextualSpacing/>
              <w:rPr>
                <w:sz w:val="22"/>
                <w:szCs w:val="23"/>
              </w:rPr>
            </w:pPr>
            <w:r w:rsidRPr="007A5C92">
              <w:rPr>
                <w:sz w:val="22"/>
                <w:szCs w:val="23"/>
              </w:rPr>
              <w:t xml:space="preserve">describe mathematical relationships between two variables </w:t>
            </w:r>
            <w:r>
              <w:rPr>
                <w:sz w:val="22"/>
                <w:szCs w:val="23"/>
              </w:rPr>
              <w:t xml:space="preserve">that </w:t>
            </w:r>
            <w:r w:rsidR="00015780">
              <w:rPr>
                <w:sz w:val="22"/>
                <w:szCs w:val="23"/>
              </w:rPr>
              <w:t xml:space="preserve">are easily visible </w:t>
            </w:r>
            <w:r>
              <w:rPr>
                <w:sz w:val="22"/>
                <w:szCs w:val="23"/>
              </w:rPr>
              <w:t>in the data derived from experiments or observations</w:t>
            </w:r>
            <w:r w:rsidRPr="007A5C92">
              <w:rPr>
                <w:sz w:val="22"/>
                <w:szCs w:val="23"/>
              </w:rPr>
              <w:t xml:space="preserve"> </w:t>
            </w:r>
          </w:p>
        </w:tc>
        <w:tc>
          <w:tcPr>
            <w:tcW w:w="5070" w:type="dxa"/>
          </w:tcPr>
          <w:p w:rsidR="00493C17" w:rsidRPr="007A5C92" w:rsidRDefault="00493C17" w:rsidP="00015780">
            <w:pPr>
              <w:pStyle w:val="Default"/>
              <w:spacing w:line="360" w:lineRule="auto"/>
              <w:contextualSpacing/>
              <w:rPr>
                <w:sz w:val="22"/>
                <w:szCs w:val="23"/>
              </w:rPr>
            </w:pPr>
            <w:r w:rsidRPr="007A5C92">
              <w:rPr>
                <w:sz w:val="22"/>
                <w:szCs w:val="23"/>
              </w:rPr>
              <w:t xml:space="preserve">describe </w:t>
            </w:r>
            <w:r w:rsidR="00015780">
              <w:rPr>
                <w:sz w:val="22"/>
                <w:szCs w:val="23"/>
              </w:rPr>
              <w:t xml:space="preserve">simple </w:t>
            </w:r>
            <w:r w:rsidRPr="007A5C92">
              <w:rPr>
                <w:sz w:val="22"/>
                <w:szCs w:val="23"/>
              </w:rPr>
              <w:t xml:space="preserve">mathematical relationships between two variables </w:t>
            </w:r>
            <w:r>
              <w:rPr>
                <w:sz w:val="22"/>
                <w:szCs w:val="23"/>
              </w:rPr>
              <w:t>that can be seen in the data derived from students</w:t>
            </w:r>
            <w:r w:rsidR="00015780">
              <w:rPr>
                <w:sz w:val="22"/>
                <w:szCs w:val="23"/>
              </w:rPr>
              <w:t>’</w:t>
            </w:r>
            <w:r>
              <w:rPr>
                <w:sz w:val="22"/>
                <w:szCs w:val="23"/>
              </w:rPr>
              <w:t xml:space="preserve"> own experiments or observations</w:t>
            </w:r>
          </w:p>
        </w:tc>
        <w:tc>
          <w:tcPr>
            <w:tcW w:w="5070" w:type="dxa"/>
          </w:tcPr>
          <w:p w:rsidR="00493C17" w:rsidRPr="007A5C92" w:rsidRDefault="00493C17" w:rsidP="00493C17">
            <w:pPr>
              <w:pStyle w:val="Default"/>
              <w:spacing w:line="360" w:lineRule="auto"/>
              <w:contextualSpacing/>
              <w:rPr>
                <w:sz w:val="22"/>
                <w:szCs w:val="23"/>
              </w:rPr>
            </w:pPr>
            <w:r w:rsidRPr="007A5C92">
              <w:rPr>
                <w:sz w:val="22"/>
                <w:szCs w:val="23"/>
              </w:rPr>
              <w:t>describe simple mathematical relationships between two variables (bivariate data) in observational and experimental contexts</w:t>
            </w:r>
          </w:p>
        </w:tc>
      </w:tr>
      <w:tr w:rsidR="00493C17" w:rsidRPr="0044230D">
        <w:tc>
          <w:tcPr>
            <w:tcW w:w="5070" w:type="dxa"/>
          </w:tcPr>
          <w:p w:rsidR="00493C17" w:rsidRPr="007A5C92" w:rsidRDefault="00493C17" w:rsidP="00493C17">
            <w:pPr>
              <w:pStyle w:val="Default"/>
              <w:spacing w:line="360" w:lineRule="auto"/>
              <w:contextualSpacing/>
              <w:rPr>
                <w:sz w:val="22"/>
                <w:szCs w:val="23"/>
              </w:rPr>
            </w:pPr>
          </w:p>
        </w:tc>
        <w:tc>
          <w:tcPr>
            <w:tcW w:w="5070" w:type="dxa"/>
          </w:tcPr>
          <w:p w:rsidR="00493C17" w:rsidRPr="008B794D" w:rsidRDefault="00493C17" w:rsidP="00493C17">
            <w:pPr>
              <w:pStyle w:val="Default"/>
              <w:spacing w:line="360" w:lineRule="auto"/>
              <w:contextualSpacing/>
              <w:rPr>
                <w:sz w:val="22"/>
                <w:szCs w:val="23"/>
              </w:rPr>
            </w:pPr>
            <w:r>
              <w:rPr>
                <w:sz w:val="22"/>
                <w:szCs w:val="23"/>
              </w:rPr>
              <w:t>represent</w:t>
            </w:r>
            <w:r w:rsidRPr="008B794D">
              <w:rPr>
                <w:sz w:val="22"/>
                <w:szCs w:val="23"/>
              </w:rPr>
              <w:t xml:space="preserve"> </w:t>
            </w:r>
            <w:r w:rsidRPr="007A5C92">
              <w:rPr>
                <w:sz w:val="22"/>
                <w:szCs w:val="23"/>
              </w:rPr>
              <w:t>bivariate data</w:t>
            </w:r>
            <w:r w:rsidRPr="008B794D">
              <w:rPr>
                <w:sz w:val="22"/>
                <w:szCs w:val="23"/>
              </w:rPr>
              <w:t xml:space="preserve"> </w:t>
            </w:r>
            <w:r w:rsidR="00015780">
              <w:rPr>
                <w:sz w:val="22"/>
                <w:szCs w:val="23"/>
              </w:rPr>
              <w:t>on a</w:t>
            </w:r>
            <w:r>
              <w:rPr>
                <w:sz w:val="22"/>
                <w:szCs w:val="23"/>
              </w:rPr>
              <w:t xml:space="preserve"> </w:t>
            </w:r>
            <w:r w:rsidRPr="008B794D">
              <w:rPr>
                <w:sz w:val="22"/>
                <w:szCs w:val="23"/>
              </w:rPr>
              <w:t>scatter gr</w:t>
            </w:r>
            <w:r w:rsidR="00015780">
              <w:rPr>
                <w:sz w:val="22"/>
                <w:szCs w:val="23"/>
              </w:rPr>
              <w:t>aph</w:t>
            </w:r>
            <w:r w:rsidRPr="008B794D">
              <w:rPr>
                <w:sz w:val="22"/>
                <w:szCs w:val="23"/>
              </w:rPr>
              <w:t xml:space="preserve"> </w:t>
            </w:r>
          </w:p>
        </w:tc>
        <w:tc>
          <w:tcPr>
            <w:tcW w:w="5070" w:type="dxa"/>
          </w:tcPr>
          <w:p w:rsidR="00493C17" w:rsidRPr="008B794D" w:rsidRDefault="00493C17" w:rsidP="00493C17">
            <w:pPr>
              <w:pStyle w:val="Default"/>
              <w:spacing w:line="360" w:lineRule="auto"/>
              <w:contextualSpacing/>
              <w:rPr>
                <w:sz w:val="22"/>
                <w:szCs w:val="23"/>
              </w:rPr>
            </w:pPr>
            <w:r>
              <w:rPr>
                <w:sz w:val="22"/>
                <w:szCs w:val="23"/>
              </w:rPr>
              <w:t>use</w:t>
            </w:r>
            <w:r w:rsidRPr="008B794D">
              <w:rPr>
                <w:sz w:val="22"/>
                <w:szCs w:val="23"/>
              </w:rPr>
              <w:t xml:space="preserve"> </w:t>
            </w:r>
            <w:r w:rsidR="00015780">
              <w:rPr>
                <w:sz w:val="22"/>
                <w:szCs w:val="23"/>
              </w:rPr>
              <w:t xml:space="preserve">a </w:t>
            </w:r>
            <w:r w:rsidRPr="008B794D">
              <w:rPr>
                <w:sz w:val="22"/>
                <w:szCs w:val="23"/>
              </w:rPr>
              <w:t>scatter gr</w:t>
            </w:r>
            <w:r w:rsidR="00015780">
              <w:rPr>
                <w:sz w:val="22"/>
                <w:szCs w:val="23"/>
              </w:rPr>
              <w:t>aph</w:t>
            </w:r>
            <w:r w:rsidRPr="008B794D">
              <w:rPr>
                <w:sz w:val="22"/>
                <w:szCs w:val="23"/>
              </w:rPr>
              <w:t xml:space="preserve"> </w:t>
            </w:r>
            <w:r>
              <w:rPr>
                <w:sz w:val="22"/>
                <w:szCs w:val="23"/>
              </w:rPr>
              <w:t xml:space="preserve">to </w:t>
            </w:r>
            <w:r w:rsidRPr="008B794D">
              <w:rPr>
                <w:sz w:val="22"/>
                <w:szCs w:val="23"/>
              </w:rPr>
              <w:t xml:space="preserve">illustrate </w:t>
            </w:r>
            <w:r w:rsidRPr="007A5C92">
              <w:rPr>
                <w:sz w:val="22"/>
                <w:szCs w:val="23"/>
              </w:rPr>
              <w:t>simple mathematical relationships between two variables</w:t>
            </w:r>
          </w:p>
        </w:tc>
      </w:tr>
    </w:tbl>
    <w:p w:rsidR="00493C17" w:rsidRDefault="00493C17" w:rsidP="00493C17">
      <w:pPr>
        <w:rPr>
          <w:szCs w:val="24"/>
        </w:rPr>
      </w:pPr>
    </w:p>
    <w:p w:rsidR="00493C17" w:rsidRPr="00434E98" w:rsidRDefault="00493C17" w:rsidP="00493C17">
      <w:pPr>
        <w:rPr>
          <w:szCs w:val="24"/>
        </w:rPr>
      </w:pPr>
    </w:p>
    <w:sectPr w:rsidR="00493C17" w:rsidRPr="00434E98" w:rsidSect="00493C17">
      <w:pgSz w:w="16838" w:h="11899" w:orient="landscape"/>
      <w:pgMar w:top="993" w:right="993"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3DF2114"/>
    <w:multiLevelType w:val="multilevel"/>
    <w:tmpl w:val="DE145C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F892B02"/>
    <w:multiLevelType w:val="hybridMultilevel"/>
    <w:tmpl w:val="733C31B8"/>
    <w:lvl w:ilvl="0" w:tplc="0532B284">
      <w:start w:val="1"/>
      <w:numFmt w:val="bullet"/>
      <w:lvlText w:val=""/>
      <w:lvlJc w:val="left"/>
      <w:pPr>
        <w:tabs>
          <w:tab w:val="num" w:pos="360"/>
        </w:tabs>
        <w:ind w:left="360" w:hanging="360"/>
      </w:pPr>
      <w:rPr>
        <w:rFonts w:ascii="Wingdings" w:hAnsi="Wingdings" w:hint="default"/>
        <w:b/>
        <w:i w:val="0"/>
        <w:color w:val="FF9900"/>
        <w:sz w:val="24"/>
      </w:rPr>
    </w:lvl>
    <w:lvl w:ilvl="1" w:tplc="FDFAE98A" w:tentative="1">
      <w:start w:val="1"/>
      <w:numFmt w:val="bullet"/>
      <w:lvlText w:val="o"/>
      <w:lvlJc w:val="left"/>
      <w:pPr>
        <w:tabs>
          <w:tab w:val="num" w:pos="0"/>
        </w:tabs>
        <w:ind w:left="0" w:hanging="360"/>
      </w:pPr>
      <w:rPr>
        <w:rFonts w:ascii="Courier New" w:hAnsi="Courier New" w:cs="Courier New" w:hint="default"/>
      </w:rPr>
    </w:lvl>
    <w:lvl w:ilvl="2" w:tplc="1540B248" w:tentative="1">
      <w:start w:val="1"/>
      <w:numFmt w:val="bullet"/>
      <w:lvlText w:val=""/>
      <w:lvlJc w:val="left"/>
      <w:pPr>
        <w:tabs>
          <w:tab w:val="num" w:pos="720"/>
        </w:tabs>
        <w:ind w:left="720" w:hanging="360"/>
      </w:pPr>
      <w:rPr>
        <w:rFonts w:ascii="Wingdings" w:hAnsi="Wingdings" w:hint="default"/>
      </w:rPr>
    </w:lvl>
    <w:lvl w:ilvl="3" w:tplc="FA9237EA" w:tentative="1">
      <w:start w:val="1"/>
      <w:numFmt w:val="bullet"/>
      <w:lvlText w:val=""/>
      <w:lvlJc w:val="left"/>
      <w:pPr>
        <w:tabs>
          <w:tab w:val="num" w:pos="1440"/>
        </w:tabs>
        <w:ind w:left="1440" w:hanging="360"/>
      </w:pPr>
      <w:rPr>
        <w:rFonts w:ascii="Symbol" w:hAnsi="Symbol" w:hint="default"/>
      </w:rPr>
    </w:lvl>
    <w:lvl w:ilvl="4" w:tplc="8D9645FE" w:tentative="1">
      <w:start w:val="1"/>
      <w:numFmt w:val="bullet"/>
      <w:lvlText w:val="o"/>
      <w:lvlJc w:val="left"/>
      <w:pPr>
        <w:tabs>
          <w:tab w:val="num" w:pos="2160"/>
        </w:tabs>
        <w:ind w:left="2160" w:hanging="360"/>
      </w:pPr>
      <w:rPr>
        <w:rFonts w:ascii="Courier New" w:hAnsi="Courier New" w:cs="Courier New" w:hint="default"/>
      </w:rPr>
    </w:lvl>
    <w:lvl w:ilvl="5" w:tplc="8C947522" w:tentative="1">
      <w:start w:val="1"/>
      <w:numFmt w:val="bullet"/>
      <w:lvlText w:val=""/>
      <w:lvlJc w:val="left"/>
      <w:pPr>
        <w:tabs>
          <w:tab w:val="num" w:pos="2880"/>
        </w:tabs>
        <w:ind w:left="2880" w:hanging="360"/>
      </w:pPr>
      <w:rPr>
        <w:rFonts w:ascii="Wingdings" w:hAnsi="Wingdings" w:hint="default"/>
      </w:rPr>
    </w:lvl>
    <w:lvl w:ilvl="6" w:tplc="26A4A64A" w:tentative="1">
      <w:start w:val="1"/>
      <w:numFmt w:val="bullet"/>
      <w:lvlText w:val=""/>
      <w:lvlJc w:val="left"/>
      <w:pPr>
        <w:tabs>
          <w:tab w:val="num" w:pos="3600"/>
        </w:tabs>
        <w:ind w:left="3600" w:hanging="360"/>
      </w:pPr>
      <w:rPr>
        <w:rFonts w:ascii="Symbol" w:hAnsi="Symbol" w:hint="default"/>
      </w:rPr>
    </w:lvl>
    <w:lvl w:ilvl="7" w:tplc="CEE0E710" w:tentative="1">
      <w:start w:val="1"/>
      <w:numFmt w:val="bullet"/>
      <w:lvlText w:val="o"/>
      <w:lvlJc w:val="left"/>
      <w:pPr>
        <w:tabs>
          <w:tab w:val="num" w:pos="4320"/>
        </w:tabs>
        <w:ind w:left="4320" w:hanging="360"/>
      </w:pPr>
      <w:rPr>
        <w:rFonts w:ascii="Courier New" w:hAnsi="Courier New" w:cs="Courier New" w:hint="default"/>
      </w:rPr>
    </w:lvl>
    <w:lvl w:ilvl="8" w:tplc="DEDE8908" w:tentative="1">
      <w:start w:val="1"/>
      <w:numFmt w:val="bullet"/>
      <w:lvlText w:val=""/>
      <w:lvlJc w:val="left"/>
      <w:pPr>
        <w:tabs>
          <w:tab w:val="num" w:pos="5040"/>
        </w:tabs>
        <w:ind w:left="5040" w:hanging="360"/>
      </w:pPr>
      <w:rPr>
        <w:rFonts w:ascii="Wingdings" w:hAnsi="Wingdings" w:hint="default"/>
      </w:rPr>
    </w:lvl>
  </w:abstractNum>
  <w:abstractNum w:abstractNumId="10">
    <w:nsid w:val="19D0745D"/>
    <w:multiLevelType w:val="hybridMultilevel"/>
    <w:tmpl w:val="C186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101FA"/>
    <w:multiLevelType w:val="hybridMultilevel"/>
    <w:tmpl w:val="12AC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302812"/>
    <w:multiLevelType w:val="hybridMultilevel"/>
    <w:tmpl w:val="BBB0D7DC"/>
    <w:lvl w:ilvl="0" w:tplc="4B44BE20">
      <w:start w:val="1"/>
      <w:numFmt w:val="bullet"/>
      <w:lvlText w:val=""/>
      <w:lvlJc w:val="left"/>
      <w:pPr>
        <w:tabs>
          <w:tab w:val="num" w:pos="360"/>
        </w:tabs>
        <w:ind w:left="360" w:hanging="360"/>
      </w:pPr>
      <w:rPr>
        <w:rFonts w:ascii="Wingdings" w:hAnsi="Wingdings" w:hint="default"/>
        <w:b/>
        <w:i w:val="0"/>
        <w:color w:val="FF9900"/>
        <w:sz w:val="24"/>
      </w:rPr>
    </w:lvl>
    <w:lvl w:ilvl="1" w:tplc="4BB2432A" w:tentative="1">
      <w:start w:val="1"/>
      <w:numFmt w:val="bullet"/>
      <w:lvlText w:val="o"/>
      <w:lvlJc w:val="left"/>
      <w:pPr>
        <w:tabs>
          <w:tab w:val="num" w:pos="0"/>
        </w:tabs>
        <w:ind w:left="0" w:hanging="360"/>
      </w:pPr>
      <w:rPr>
        <w:rFonts w:ascii="Courier New" w:hAnsi="Courier New" w:cs="Courier New" w:hint="default"/>
      </w:rPr>
    </w:lvl>
    <w:lvl w:ilvl="2" w:tplc="3496E3D8" w:tentative="1">
      <w:start w:val="1"/>
      <w:numFmt w:val="bullet"/>
      <w:lvlText w:val=""/>
      <w:lvlJc w:val="left"/>
      <w:pPr>
        <w:tabs>
          <w:tab w:val="num" w:pos="720"/>
        </w:tabs>
        <w:ind w:left="720" w:hanging="360"/>
      </w:pPr>
      <w:rPr>
        <w:rFonts w:ascii="Wingdings" w:hAnsi="Wingdings" w:hint="default"/>
      </w:rPr>
    </w:lvl>
    <w:lvl w:ilvl="3" w:tplc="8E6418DC" w:tentative="1">
      <w:start w:val="1"/>
      <w:numFmt w:val="bullet"/>
      <w:lvlText w:val=""/>
      <w:lvlJc w:val="left"/>
      <w:pPr>
        <w:tabs>
          <w:tab w:val="num" w:pos="1440"/>
        </w:tabs>
        <w:ind w:left="1440" w:hanging="360"/>
      </w:pPr>
      <w:rPr>
        <w:rFonts w:ascii="Symbol" w:hAnsi="Symbol" w:hint="default"/>
      </w:rPr>
    </w:lvl>
    <w:lvl w:ilvl="4" w:tplc="33AEE30A" w:tentative="1">
      <w:start w:val="1"/>
      <w:numFmt w:val="bullet"/>
      <w:lvlText w:val="o"/>
      <w:lvlJc w:val="left"/>
      <w:pPr>
        <w:tabs>
          <w:tab w:val="num" w:pos="2160"/>
        </w:tabs>
        <w:ind w:left="2160" w:hanging="360"/>
      </w:pPr>
      <w:rPr>
        <w:rFonts w:ascii="Courier New" w:hAnsi="Courier New" w:cs="Courier New" w:hint="default"/>
      </w:rPr>
    </w:lvl>
    <w:lvl w:ilvl="5" w:tplc="738C4934" w:tentative="1">
      <w:start w:val="1"/>
      <w:numFmt w:val="bullet"/>
      <w:lvlText w:val=""/>
      <w:lvlJc w:val="left"/>
      <w:pPr>
        <w:tabs>
          <w:tab w:val="num" w:pos="2880"/>
        </w:tabs>
        <w:ind w:left="2880" w:hanging="360"/>
      </w:pPr>
      <w:rPr>
        <w:rFonts w:ascii="Wingdings" w:hAnsi="Wingdings" w:hint="default"/>
      </w:rPr>
    </w:lvl>
    <w:lvl w:ilvl="6" w:tplc="E50241C2" w:tentative="1">
      <w:start w:val="1"/>
      <w:numFmt w:val="bullet"/>
      <w:lvlText w:val=""/>
      <w:lvlJc w:val="left"/>
      <w:pPr>
        <w:tabs>
          <w:tab w:val="num" w:pos="3600"/>
        </w:tabs>
        <w:ind w:left="3600" w:hanging="360"/>
      </w:pPr>
      <w:rPr>
        <w:rFonts w:ascii="Symbol" w:hAnsi="Symbol" w:hint="default"/>
      </w:rPr>
    </w:lvl>
    <w:lvl w:ilvl="7" w:tplc="0B2CE8BC" w:tentative="1">
      <w:start w:val="1"/>
      <w:numFmt w:val="bullet"/>
      <w:lvlText w:val="o"/>
      <w:lvlJc w:val="left"/>
      <w:pPr>
        <w:tabs>
          <w:tab w:val="num" w:pos="4320"/>
        </w:tabs>
        <w:ind w:left="4320" w:hanging="360"/>
      </w:pPr>
      <w:rPr>
        <w:rFonts w:ascii="Courier New" w:hAnsi="Courier New" w:cs="Courier New" w:hint="default"/>
      </w:rPr>
    </w:lvl>
    <w:lvl w:ilvl="8" w:tplc="30C0C574" w:tentative="1">
      <w:start w:val="1"/>
      <w:numFmt w:val="bullet"/>
      <w:lvlText w:val=""/>
      <w:lvlJc w:val="left"/>
      <w:pPr>
        <w:tabs>
          <w:tab w:val="num" w:pos="5040"/>
        </w:tabs>
        <w:ind w:left="5040" w:hanging="360"/>
      </w:pPr>
      <w:rPr>
        <w:rFonts w:ascii="Wingdings" w:hAnsi="Wingdings" w:hint="default"/>
      </w:rPr>
    </w:lvl>
  </w:abstractNum>
  <w:abstractNum w:abstractNumId="13">
    <w:nsid w:val="312B7AA4"/>
    <w:multiLevelType w:val="multilevel"/>
    <w:tmpl w:val="DE145C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6F2770B"/>
    <w:multiLevelType w:val="hybridMultilevel"/>
    <w:tmpl w:val="DE145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AD2F04"/>
    <w:multiLevelType w:val="hybridMultilevel"/>
    <w:tmpl w:val="DE145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9B4F7F"/>
    <w:multiLevelType w:val="hybridMultilevel"/>
    <w:tmpl w:val="2A044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F4B36AC"/>
    <w:multiLevelType w:val="hybridMultilevel"/>
    <w:tmpl w:val="5458157E"/>
    <w:lvl w:ilvl="0" w:tplc="FD4E33E0">
      <w:start w:val="1"/>
      <w:numFmt w:val="bullet"/>
      <w:lvlText w:val=""/>
      <w:lvlJc w:val="left"/>
      <w:pPr>
        <w:tabs>
          <w:tab w:val="num" w:pos="360"/>
        </w:tabs>
        <w:ind w:left="360" w:hanging="360"/>
      </w:pPr>
      <w:rPr>
        <w:rFonts w:ascii="Wingdings" w:hAnsi="Wingdings" w:hint="default"/>
        <w:b/>
        <w:i w:val="0"/>
        <w:color w:val="FF9900"/>
        <w:sz w:val="24"/>
      </w:rPr>
    </w:lvl>
    <w:lvl w:ilvl="1" w:tplc="8B4C59DA" w:tentative="1">
      <w:start w:val="1"/>
      <w:numFmt w:val="bullet"/>
      <w:lvlText w:val="o"/>
      <w:lvlJc w:val="left"/>
      <w:pPr>
        <w:tabs>
          <w:tab w:val="num" w:pos="0"/>
        </w:tabs>
        <w:ind w:left="0" w:hanging="360"/>
      </w:pPr>
      <w:rPr>
        <w:rFonts w:ascii="Courier New" w:hAnsi="Courier New" w:cs="Courier New" w:hint="default"/>
      </w:rPr>
    </w:lvl>
    <w:lvl w:ilvl="2" w:tplc="71AA0DAC" w:tentative="1">
      <w:start w:val="1"/>
      <w:numFmt w:val="bullet"/>
      <w:lvlText w:val=""/>
      <w:lvlJc w:val="left"/>
      <w:pPr>
        <w:tabs>
          <w:tab w:val="num" w:pos="720"/>
        </w:tabs>
        <w:ind w:left="720" w:hanging="360"/>
      </w:pPr>
      <w:rPr>
        <w:rFonts w:ascii="Wingdings" w:hAnsi="Wingdings" w:hint="default"/>
      </w:rPr>
    </w:lvl>
    <w:lvl w:ilvl="3" w:tplc="C56C6480" w:tentative="1">
      <w:start w:val="1"/>
      <w:numFmt w:val="bullet"/>
      <w:lvlText w:val=""/>
      <w:lvlJc w:val="left"/>
      <w:pPr>
        <w:tabs>
          <w:tab w:val="num" w:pos="1440"/>
        </w:tabs>
        <w:ind w:left="1440" w:hanging="360"/>
      </w:pPr>
      <w:rPr>
        <w:rFonts w:ascii="Symbol" w:hAnsi="Symbol" w:hint="default"/>
      </w:rPr>
    </w:lvl>
    <w:lvl w:ilvl="4" w:tplc="E230D180" w:tentative="1">
      <w:start w:val="1"/>
      <w:numFmt w:val="bullet"/>
      <w:lvlText w:val="o"/>
      <w:lvlJc w:val="left"/>
      <w:pPr>
        <w:tabs>
          <w:tab w:val="num" w:pos="2160"/>
        </w:tabs>
        <w:ind w:left="2160" w:hanging="360"/>
      </w:pPr>
      <w:rPr>
        <w:rFonts w:ascii="Courier New" w:hAnsi="Courier New" w:cs="Courier New" w:hint="default"/>
      </w:rPr>
    </w:lvl>
    <w:lvl w:ilvl="5" w:tplc="A54AB45C" w:tentative="1">
      <w:start w:val="1"/>
      <w:numFmt w:val="bullet"/>
      <w:lvlText w:val=""/>
      <w:lvlJc w:val="left"/>
      <w:pPr>
        <w:tabs>
          <w:tab w:val="num" w:pos="2880"/>
        </w:tabs>
        <w:ind w:left="2880" w:hanging="360"/>
      </w:pPr>
      <w:rPr>
        <w:rFonts w:ascii="Wingdings" w:hAnsi="Wingdings" w:hint="default"/>
      </w:rPr>
    </w:lvl>
    <w:lvl w:ilvl="6" w:tplc="DD5832BE" w:tentative="1">
      <w:start w:val="1"/>
      <w:numFmt w:val="bullet"/>
      <w:lvlText w:val=""/>
      <w:lvlJc w:val="left"/>
      <w:pPr>
        <w:tabs>
          <w:tab w:val="num" w:pos="3600"/>
        </w:tabs>
        <w:ind w:left="3600" w:hanging="360"/>
      </w:pPr>
      <w:rPr>
        <w:rFonts w:ascii="Symbol" w:hAnsi="Symbol" w:hint="default"/>
      </w:rPr>
    </w:lvl>
    <w:lvl w:ilvl="7" w:tplc="FC16965C" w:tentative="1">
      <w:start w:val="1"/>
      <w:numFmt w:val="bullet"/>
      <w:lvlText w:val="o"/>
      <w:lvlJc w:val="left"/>
      <w:pPr>
        <w:tabs>
          <w:tab w:val="num" w:pos="4320"/>
        </w:tabs>
        <w:ind w:left="4320" w:hanging="360"/>
      </w:pPr>
      <w:rPr>
        <w:rFonts w:ascii="Courier New" w:hAnsi="Courier New" w:cs="Courier New" w:hint="default"/>
      </w:rPr>
    </w:lvl>
    <w:lvl w:ilvl="8" w:tplc="B4A23C1E" w:tentative="1">
      <w:start w:val="1"/>
      <w:numFmt w:val="bullet"/>
      <w:lvlText w:val=""/>
      <w:lvlJc w:val="left"/>
      <w:pPr>
        <w:tabs>
          <w:tab w:val="num" w:pos="5040"/>
        </w:tabs>
        <w:ind w:left="5040" w:hanging="360"/>
      </w:pPr>
      <w:rPr>
        <w:rFonts w:ascii="Wingdings" w:hAnsi="Wingdings" w:hint="default"/>
      </w:rPr>
    </w:lvl>
  </w:abstractNum>
  <w:num w:numId="1">
    <w:abstractNumId w:val="17"/>
  </w:num>
  <w:num w:numId="2">
    <w:abstractNumId w:val="9"/>
  </w:num>
  <w:num w:numId="3">
    <w:abstractNumId w:val="12"/>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11"/>
  </w:num>
  <w:num w:numId="13">
    <w:abstractNumId w:val="14"/>
  </w:num>
  <w:num w:numId="14">
    <w:abstractNumId w:val="15"/>
  </w:num>
  <w:num w:numId="15">
    <w:abstractNumId w:val="16"/>
  </w:num>
  <w:num w:numId="16">
    <w:abstractNumId w:val="13"/>
  </w:num>
  <w:num w:numId="17">
    <w:abstractNumId w:val="8"/>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stylePaneFormatFilter w:val="3F01"/>
  <w:stylePaneSortMethod w:val="0000"/>
  <w:defaultTabStop w:val="720"/>
  <w:characterSpacingControl w:val="doNotCompress"/>
  <w:savePreviewPicture/>
  <w:compat/>
  <w:rsids>
    <w:rsidRoot w:val="009B4B27"/>
    <w:rsid w:val="00015780"/>
    <w:rsid w:val="0014605B"/>
    <w:rsid w:val="0033599D"/>
    <w:rsid w:val="00385954"/>
    <w:rsid w:val="003932B2"/>
    <w:rsid w:val="00493C17"/>
    <w:rsid w:val="004E6B92"/>
    <w:rsid w:val="009B4B27"/>
    <w:rsid w:val="00A01F61"/>
    <w:rsid w:val="00AB2614"/>
    <w:rsid w:val="00D13CB8"/>
    <w:rsid w:val="00DC1773"/>
    <w:rsid w:val="00FB53AF"/>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style w:type="paragraph" w:default="1" w:styleId="Normal">
    <w:name w:val="Normal"/>
    <w:qFormat/>
    <w:rsid w:val="00AD5DC4"/>
    <w:rPr>
      <w:sz w:val="24"/>
    </w:rPr>
  </w:style>
  <w:style w:type="paragraph" w:styleId="Heading1">
    <w:name w:val="heading 1"/>
    <w:basedOn w:val="Normal"/>
    <w:next w:val="Normal"/>
    <w:qFormat/>
    <w:rsid w:val="00AD5DC4"/>
    <w:pPr>
      <w:keepNext/>
      <w:outlineLvl w:val="0"/>
    </w:pPr>
    <w:rPr>
      <w:rFonts w:ascii="Arial" w:hAnsi="Arial"/>
      <w:b/>
      <w:color w:val="000000"/>
      <w:sz w:val="22"/>
    </w:rPr>
  </w:style>
  <w:style w:type="paragraph" w:styleId="Heading2">
    <w:name w:val="heading 2"/>
    <w:basedOn w:val="Normal"/>
    <w:next w:val="Normal"/>
    <w:qFormat/>
    <w:rsid w:val="00AD5DC4"/>
    <w:pPr>
      <w:keepNext/>
      <w:outlineLvl w:val="1"/>
    </w:pPr>
    <w:rPr>
      <w:rFonts w:ascii="Times" w:hAnsi="Time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D5DC4"/>
    <w:rPr>
      <w:color w:val="0000FF"/>
      <w:u w:val="single"/>
    </w:rPr>
  </w:style>
  <w:style w:type="paragraph" w:styleId="BodyTextIndent">
    <w:name w:val="Body Text Indent"/>
    <w:basedOn w:val="Normal"/>
    <w:rsid w:val="00AD5DC4"/>
    <w:pPr>
      <w:spacing w:line="240" w:lineRule="atLeast"/>
    </w:pPr>
    <w:rPr>
      <w:rFonts w:ascii="Times" w:hAnsi="Times"/>
      <w:color w:val="000000"/>
      <w:sz w:val="22"/>
    </w:rPr>
  </w:style>
  <w:style w:type="paragraph" w:styleId="BodyText">
    <w:name w:val="Body Text"/>
    <w:basedOn w:val="Normal"/>
    <w:rsid w:val="00AD5DC4"/>
    <w:rPr>
      <w:rFonts w:ascii="Arial" w:hAnsi="Arial"/>
      <w:color w:val="000000"/>
      <w:sz w:val="22"/>
    </w:rPr>
  </w:style>
  <w:style w:type="paragraph" w:styleId="BodyText2">
    <w:name w:val="Body Text 2"/>
    <w:basedOn w:val="Normal"/>
    <w:rsid w:val="00AD5DC4"/>
    <w:rPr>
      <w:rFonts w:ascii="Times" w:hAnsi="Times"/>
      <w:color w:val="000000"/>
    </w:rPr>
  </w:style>
  <w:style w:type="paragraph" w:styleId="BodyText3">
    <w:name w:val="Body Text 3"/>
    <w:basedOn w:val="Normal"/>
    <w:rsid w:val="00AD5DC4"/>
    <w:rPr>
      <w:rFonts w:ascii="Times" w:hAnsi="Times"/>
      <w:b/>
      <w:color w:val="000000"/>
    </w:rPr>
  </w:style>
  <w:style w:type="paragraph" w:styleId="ListParagraph">
    <w:name w:val="List Paragraph"/>
    <w:basedOn w:val="Normal"/>
    <w:uiPriority w:val="34"/>
    <w:qFormat/>
    <w:rsid w:val="00302E69"/>
    <w:pPr>
      <w:spacing w:after="200" w:line="276" w:lineRule="auto"/>
      <w:ind w:left="720"/>
    </w:pPr>
    <w:rPr>
      <w:rFonts w:ascii="Cambria" w:eastAsia="Cambria" w:hAnsi="Cambria"/>
      <w:sz w:val="22"/>
      <w:szCs w:val="22"/>
    </w:rPr>
  </w:style>
  <w:style w:type="paragraph" w:customStyle="1" w:styleId="Default">
    <w:name w:val="Default"/>
    <w:rsid w:val="00AC06B9"/>
    <w:pPr>
      <w:widowControl w:val="0"/>
      <w:autoSpaceDE w:val="0"/>
      <w:autoSpaceDN w:val="0"/>
      <w:adjustRightInd w:val="0"/>
    </w:pPr>
    <w:rPr>
      <w:rFonts w:ascii="Arial" w:hAnsi="Arial" w:cs="Arial"/>
      <w:color w:val="000000"/>
      <w:sz w:val="24"/>
      <w:szCs w:val="24"/>
      <w:lang w:val="en-US"/>
    </w:rPr>
  </w:style>
  <w:style w:type="table" w:styleId="TableGrid">
    <w:name w:val="Table Grid"/>
    <w:basedOn w:val="TableNormal"/>
    <w:uiPriority w:val="59"/>
    <w:rsid w:val="007C56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rsid w:val="003359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style w:type="paragraph" w:default="1" w:styleId="Normal">
    <w:name w:val="Normal"/>
    <w:qFormat/>
    <w:rsid w:val="00AD5DC4"/>
    <w:rPr>
      <w:sz w:val="24"/>
    </w:rPr>
  </w:style>
  <w:style w:type="paragraph" w:styleId="Heading1">
    <w:name w:val="heading 1"/>
    <w:basedOn w:val="Normal"/>
    <w:next w:val="Normal"/>
    <w:qFormat/>
    <w:rsid w:val="00AD5DC4"/>
    <w:pPr>
      <w:keepNext/>
      <w:outlineLvl w:val="0"/>
    </w:pPr>
    <w:rPr>
      <w:rFonts w:ascii="Arial" w:hAnsi="Arial"/>
      <w:b/>
      <w:color w:val="000000"/>
      <w:sz w:val="22"/>
    </w:rPr>
  </w:style>
  <w:style w:type="paragraph" w:styleId="Heading2">
    <w:name w:val="heading 2"/>
    <w:basedOn w:val="Normal"/>
    <w:next w:val="Normal"/>
    <w:qFormat/>
    <w:rsid w:val="00AD5DC4"/>
    <w:pPr>
      <w:keepNext/>
      <w:outlineLvl w:val="1"/>
    </w:pPr>
    <w:rPr>
      <w:rFonts w:ascii="Times" w:hAnsi="Time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D5DC4"/>
    <w:rPr>
      <w:color w:val="0000FF"/>
      <w:u w:val="single"/>
    </w:rPr>
  </w:style>
  <w:style w:type="paragraph" w:styleId="BodyTextIndent">
    <w:name w:val="Body Text Indent"/>
    <w:basedOn w:val="Normal"/>
    <w:rsid w:val="00AD5DC4"/>
    <w:pPr>
      <w:spacing w:line="240" w:lineRule="atLeast"/>
    </w:pPr>
    <w:rPr>
      <w:rFonts w:ascii="Times" w:hAnsi="Times"/>
      <w:color w:val="000000"/>
      <w:sz w:val="22"/>
    </w:rPr>
  </w:style>
  <w:style w:type="paragraph" w:styleId="BodyText">
    <w:name w:val="Body Text"/>
    <w:basedOn w:val="Normal"/>
    <w:rsid w:val="00AD5DC4"/>
    <w:rPr>
      <w:rFonts w:ascii="Arial" w:hAnsi="Arial"/>
      <w:color w:val="000000"/>
      <w:sz w:val="22"/>
    </w:rPr>
  </w:style>
  <w:style w:type="paragraph" w:styleId="BodyText2">
    <w:name w:val="Body Text 2"/>
    <w:basedOn w:val="Normal"/>
    <w:rsid w:val="00AD5DC4"/>
    <w:rPr>
      <w:rFonts w:ascii="Times" w:hAnsi="Times"/>
      <w:color w:val="000000"/>
    </w:rPr>
  </w:style>
  <w:style w:type="paragraph" w:styleId="BodyText3">
    <w:name w:val="Body Text 3"/>
    <w:basedOn w:val="Normal"/>
    <w:rsid w:val="00AD5DC4"/>
    <w:rPr>
      <w:rFonts w:ascii="Times" w:hAnsi="Times"/>
      <w:b/>
      <w:color w:val="000000"/>
    </w:rPr>
  </w:style>
  <w:style w:type="paragraph" w:styleId="ListParagraph">
    <w:name w:val="List Paragraph"/>
    <w:basedOn w:val="Normal"/>
    <w:uiPriority w:val="34"/>
    <w:qFormat/>
    <w:rsid w:val="00302E69"/>
    <w:pPr>
      <w:spacing w:after="200" w:line="276" w:lineRule="auto"/>
      <w:ind w:left="720"/>
    </w:pPr>
    <w:rPr>
      <w:rFonts w:ascii="Cambria" w:eastAsia="Cambria" w:hAnsi="Cambria"/>
      <w:sz w:val="22"/>
      <w:szCs w:val="22"/>
    </w:rPr>
  </w:style>
  <w:style w:type="paragraph" w:customStyle="1" w:styleId="Default">
    <w:name w:val="Default"/>
    <w:rsid w:val="00AC06B9"/>
    <w:pPr>
      <w:widowControl w:val="0"/>
      <w:autoSpaceDE w:val="0"/>
      <w:autoSpaceDN w:val="0"/>
      <w:adjustRightInd w:val="0"/>
    </w:pPr>
    <w:rPr>
      <w:rFonts w:ascii="Arial" w:hAnsi="Arial" w:cs="Arial"/>
      <w:color w:val="000000"/>
      <w:sz w:val="24"/>
      <w:szCs w:val="24"/>
      <w:lang w:val="en-US"/>
    </w:rPr>
  </w:style>
  <w:style w:type="table" w:styleId="TableGrid">
    <w:name w:val="Table Grid"/>
    <w:basedOn w:val="TableNormal"/>
    <w:uiPriority w:val="59"/>
    <w:rsid w:val="007C56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33599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239058/SECONDARY_national_curriculum_-_Mathematics.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Developing the teaching of Mathematics in primary schools in West Yorkshire</vt:lpstr>
    </vt:vector>
  </TitlesOfParts>
  <Company>NCETM</Company>
  <LinksUpToDate>false</LinksUpToDate>
  <CharactersWithSpaces>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the teaching of Mathematics in primary schools in West Yorkshire</dc:title>
  <dc:creator>Tony Shepherd</dc:creator>
  <cp:lastModifiedBy>mary.mackirdy</cp:lastModifiedBy>
  <cp:revision>2</cp:revision>
  <cp:lastPrinted>2014-03-06T03:46:00Z</cp:lastPrinted>
  <dcterms:created xsi:type="dcterms:W3CDTF">2014-08-20T10:59:00Z</dcterms:created>
  <dcterms:modified xsi:type="dcterms:W3CDTF">2014-08-20T10:59:00Z</dcterms:modified>
</cp:coreProperties>
</file>